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3ECD" w14:textId="77777777" w:rsidR="004E0D88" w:rsidRPr="00B903BD" w:rsidRDefault="00B903BD" w:rsidP="00B903BD">
      <w:pPr>
        <w:pStyle w:val="TITULOS"/>
        <w:rPr>
          <w:szCs w:val="28"/>
        </w:rPr>
      </w:pPr>
      <w:r>
        <w:rPr>
          <w:szCs w:val="28"/>
        </w:rPr>
        <w:t>INSTITUTO MEXICANO DEL SEGURO SOCIAL</w:t>
      </w:r>
    </w:p>
    <w:p w14:paraId="3E240EA5" w14:textId="77777777" w:rsidR="00AA3BF8" w:rsidRPr="00B903BD" w:rsidRDefault="0006285E" w:rsidP="00B903BD">
      <w:pPr>
        <w:pStyle w:val="TITULOS"/>
        <w:rPr>
          <w:szCs w:val="28"/>
        </w:rPr>
      </w:pPr>
      <w:r w:rsidRPr="00B903BD">
        <w:rPr>
          <w:szCs w:val="28"/>
        </w:rPr>
        <w:t>Notas a los estados financieros</w:t>
      </w:r>
    </w:p>
    <w:p w14:paraId="0852B76C" w14:textId="77777777" w:rsidR="00AD5ACF" w:rsidRDefault="00AD5ACF" w:rsidP="009F61CA">
      <w:pPr>
        <w:pStyle w:val="TEXTONORMAL"/>
      </w:pPr>
    </w:p>
    <w:p w14:paraId="685357CA" w14:textId="77777777" w:rsidR="009D5C48" w:rsidRDefault="009D5C48" w:rsidP="002861CC">
      <w:pPr>
        <w:pStyle w:val="Prrafodelista"/>
        <w:spacing w:before="240" w:after="120" w:line="250" w:lineRule="exact"/>
        <w:ind w:left="357" w:hanging="357"/>
        <w:contextualSpacing w:val="0"/>
        <w:rPr>
          <w:rFonts w:ascii="Montserrat" w:hAnsi="Montserrat" w:cs="Arial"/>
          <w:b/>
          <w:caps/>
        </w:rPr>
      </w:pPr>
      <w:r w:rsidRPr="00FE7E43">
        <w:rPr>
          <w:rFonts w:ascii="Montserrat" w:hAnsi="Montserrat" w:cs="Arial"/>
          <w:b/>
          <w:caps/>
        </w:rPr>
        <w:t>NOTAS DE DESGLOSE</w:t>
      </w:r>
    </w:p>
    <w:p w14:paraId="605BCB01"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62E3F">
        <w:rPr>
          <w:rFonts w:ascii="Montserrat" w:hAnsi="Montserrat" w:cs="Arial"/>
          <w:b/>
          <w:caps/>
        </w:rPr>
        <w:t xml:space="preserve">NOTAS AL ESTADO DE SITUACIÓN FINANCIERA </w:t>
      </w:r>
    </w:p>
    <w:p w14:paraId="3C87D169" w14:textId="77777777" w:rsidR="009D5C48" w:rsidRDefault="009D5C48" w:rsidP="001A3447">
      <w:pPr>
        <w:pStyle w:val="SUBTITULO2"/>
        <w:numPr>
          <w:ilvl w:val="0"/>
          <w:numId w:val="7"/>
        </w:numPr>
        <w:ind w:left="0" w:firstLine="0"/>
      </w:pPr>
      <w:r>
        <w:t>ACTIVO</w:t>
      </w:r>
    </w:p>
    <w:p w14:paraId="41798023" w14:textId="77777777" w:rsidR="009D5C48" w:rsidRDefault="009D5C48" w:rsidP="009D5C48">
      <w:pPr>
        <w:pStyle w:val="SUBTITULO2"/>
      </w:pPr>
      <w:r>
        <w:t>activo circulante</w:t>
      </w:r>
    </w:p>
    <w:p w14:paraId="6D359421" w14:textId="77777777" w:rsidR="009D5C48" w:rsidRPr="00EA55D9" w:rsidRDefault="009D5C48" w:rsidP="009D5C48">
      <w:pPr>
        <w:pStyle w:val="TEXTONORMAL"/>
        <w:rPr>
          <w:lang w:val="es-MX"/>
        </w:rPr>
      </w:pPr>
    </w:p>
    <w:p w14:paraId="3B80B8E3" w14:textId="77777777" w:rsidR="009D5C48" w:rsidRPr="000B2CE4" w:rsidRDefault="005E70D6" w:rsidP="003F2A12">
      <w:pPr>
        <w:pStyle w:val="VIETAFLECHA"/>
        <w:numPr>
          <w:ilvl w:val="0"/>
          <w:numId w:val="10"/>
        </w:numPr>
        <w:ind w:left="357" w:hanging="357"/>
      </w:pPr>
      <w:r w:rsidRPr="008142BE">
        <w:rPr>
          <w:b/>
        </w:rPr>
        <w:t>1.1</w:t>
      </w:r>
      <w:r>
        <w:t xml:space="preserve"> </w:t>
      </w:r>
      <w:r w:rsidR="009D5C48" w:rsidRPr="000B2CE4">
        <w:t>Efectivo y Equivalentes</w:t>
      </w:r>
    </w:p>
    <w:p w14:paraId="5441C2E4" w14:textId="77777777" w:rsidR="0022510F" w:rsidRDefault="006E782B" w:rsidP="00CC5EF6">
      <w:pPr>
        <w:pStyle w:val="VIETAFLECHA"/>
        <w:numPr>
          <w:ilvl w:val="0"/>
          <w:numId w:val="0"/>
        </w:numPr>
      </w:pPr>
      <w:r>
        <w:t>Al</w:t>
      </w:r>
      <w:r w:rsidR="002520C0">
        <w:t xml:space="preserve"> 30</w:t>
      </w:r>
      <w:r>
        <w:t xml:space="preserve"> de </w:t>
      </w:r>
      <w:r w:rsidR="003A3321">
        <w:t>septiembre</w:t>
      </w:r>
      <w:r>
        <w:t xml:space="preserve"> de 2022</w:t>
      </w:r>
      <w:r w:rsidR="009D5C48" w:rsidRPr="000B2CE4">
        <w:t xml:space="preserve"> y</w:t>
      </w:r>
      <w:r w:rsidR="005934F9">
        <w:t xml:space="preserve"> al</w:t>
      </w:r>
      <w:r w:rsidR="009D5C48" w:rsidRPr="000B2CE4">
        <w:t xml:space="preserve"> </w:t>
      </w:r>
      <w:r>
        <w:t>31 de diciembre de 2021</w:t>
      </w:r>
      <w:r w:rsidR="009D5C48" w:rsidRPr="000B2CE4">
        <w:t>, el rubro de Efectivo y Equivalentes se integra de la siguiente manera:</w:t>
      </w:r>
    </w:p>
    <w:p w14:paraId="79DE8A47" w14:textId="77777777" w:rsidR="00757F9F" w:rsidRDefault="00757F9F" w:rsidP="00757F9F">
      <w:pPr>
        <w:pStyle w:val="TEXTONORMAL"/>
      </w:pPr>
    </w:p>
    <w:tbl>
      <w:tblPr>
        <w:tblW w:w="10095" w:type="dxa"/>
        <w:jc w:val="center"/>
        <w:tblCellMar>
          <w:left w:w="70" w:type="dxa"/>
          <w:right w:w="70" w:type="dxa"/>
        </w:tblCellMar>
        <w:tblLook w:val="04A0" w:firstRow="1" w:lastRow="0" w:firstColumn="1" w:lastColumn="0" w:noHBand="0" w:noVBand="1"/>
      </w:tblPr>
      <w:tblGrid>
        <w:gridCol w:w="5889"/>
        <w:gridCol w:w="2114"/>
        <w:gridCol w:w="2092"/>
      </w:tblGrid>
      <w:tr w:rsidR="003A2B0B" w:rsidRPr="003A2B0B" w14:paraId="74A3BC3D" w14:textId="77777777" w:rsidTr="003A2B0B">
        <w:trPr>
          <w:trHeight w:val="258"/>
          <w:jc w:val="center"/>
        </w:trPr>
        <w:tc>
          <w:tcPr>
            <w:tcW w:w="588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696BC3BF"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Concepto</w:t>
            </w:r>
          </w:p>
        </w:tc>
        <w:tc>
          <w:tcPr>
            <w:tcW w:w="420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6415D43"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Cifras en pesos</w:t>
            </w:r>
          </w:p>
        </w:tc>
      </w:tr>
      <w:tr w:rsidR="003A2B0B" w:rsidRPr="003A2B0B" w14:paraId="63F1B676" w14:textId="77777777" w:rsidTr="003A2B0B">
        <w:trPr>
          <w:trHeight w:val="258"/>
          <w:jc w:val="center"/>
        </w:trPr>
        <w:tc>
          <w:tcPr>
            <w:tcW w:w="5889" w:type="dxa"/>
            <w:vMerge/>
            <w:tcBorders>
              <w:top w:val="single" w:sz="12" w:space="0" w:color="808080"/>
              <w:left w:val="nil"/>
              <w:bottom w:val="double" w:sz="6" w:space="0" w:color="808080"/>
              <w:right w:val="single" w:sz="12" w:space="0" w:color="FFFFFF"/>
            </w:tcBorders>
            <w:vAlign w:val="center"/>
            <w:hideMark/>
          </w:tcPr>
          <w:p w14:paraId="48795563" w14:textId="77777777" w:rsidR="003A2B0B" w:rsidRPr="003A2B0B" w:rsidRDefault="003A2B0B" w:rsidP="003A2B0B">
            <w:pPr>
              <w:spacing w:after="0" w:line="240" w:lineRule="auto"/>
              <w:rPr>
                <w:rFonts w:ascii="Montserrat" w:eastAsia="Times New Roman" w:hAnsi="Montserrat"/>
                <w:b/>
                <w:bCs/>
                <w:color w:val="FFFFFF"/>
                <w:sz w:val="16"/>
                <w:szCs w:val="16"/>
                <w:lang w:val="es-MX" w:eastAsia="es-MX"/>
              </w:rPr>
            </w:pPr>
          </w:p>
        </w:tc>
        <w:tc>
          <w:tcPr>
            <w:tcW w:w="2114" w:type="dxa"/>
            <w:tcBorders>
              <w:top w:val="nil"/>
              <w:left w:val="nil"/>
              <w:bottom w:val="double" w:sz="6" w:space="0" w:color="808080"/>
              <w:right w:val="single" w:sz="12" w:space="0" w:color="FFFFFF"/>
            </w:tcBorders>
            <w:shd w:val="clear" w:color="000000" w:fill="D4C19C"/>
            <w:vAlign w:val="center"/>
            <w:hideMark/>
          </w:tcPr>
          <w:p w14:paraId="71CDA016"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2022</w:t>
            </w:r>
          </w:p>
        </w:tc>
        <w:tc>
          <w:tcPr>
            <w:tcW w:w="2092" w:type="dxa"/>
            <w:tcBorders>
              <w:top w:val="nil"/>
              <w:left w:val="nil"/>
              <w:bottom w:val="double" w:sz="6" w:space="0" w:color="808080"/>
              <w:right w:val="single" w:sz="12" w:space="0" w:color="FFFFFF"/>
            </w:tcBorders>
            <w:shd w:val="clear" w:color="000000" w:fill="D4C19C"/>
            <w:vAlign w:val="center"/>
            <w:hideMark/>
          </w:tcPr>
          <w:p w14:paraId="7883661F"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2021</w:t>
            </w:r>
          </w:p>
        </w:tc>
      </w:tr>
      <w:tr w:rsidR="003A2B0B" w:rsidRPr="003A2B0B" w14:paraId="56AAAAD0" w14:textId="77777777" w:rsidTr="003A2B0B">
        <w:trPr>
          <w:trHeight w:val="246"/>
          <w:jc w:val="center"/>
        </w:trPr>
        <w:tc>
          <w:tcPr>
            <w:tcW w:w="5889" w:type="dxa"/>
            <w:tcBorders>
              <w:top w:val="nil"/>
              <w:left w:val="nil"/>
              <w:bottom w:val="nil"/>
              <w:right w:val="nil"/>
            </w:tcBorders>
            <w:shd w:val="clear" w:color="000000" w:fill="F2F2F2"/>
            <w:vAlign w:val="center"/>
            <w:hideMark/>
          </w:tcPr>
          <w:p w14:paraId="4AF1A8CE"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Inversiones Temporales </w:t>
            </w:r>
            <w:r w:rsidRPr="003A2B0B">
              <w:rPr>
                <w:rFonts w:ascii="Montserrat" w:eastAsia="Times New Roman" w:hAnsi="Montserrat"/>
                <w:b/>
                <w:bCs/>
                <w:color w:val="000000"/>
                <w:sz w:val="15"/>
                <w:szCs w:val="15"/>
                <w:lang w:val="es-MX" w:eastAsia="es-MX"/>
              </w:rPr>
              <w:t>(1.1.a)</w:t>
            </w:r>
          </w:p>
        </w:tc>
        <w:tc>
          <w:tcPr>
            <w:tcW w:w="2114" w:type="dxa"/>
            <w:tcBorders>
              <w:top w:val="nil"/>
              <w:left w:val="nil"/>
              <w:bottom w:val="nil"/>
              <w:right w:val="nil"/>
            </w:tcBorders>
            <w:shd w:val="clear" w:color="000000" w:fill="F2F2F2"/>
            <w:vAlign w:val="center"/>
            <w:hideMark/>
          </w:tcPr>
          <w:p w14:paraId="33E5BBCE"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74,021,661,652.5</w:t>
            </w:r>
          </w:p>
        </w:tc>
        <w:tc>
          <w:tcPr>
            <w:tcW w:w="2092" w:type="dxa"/>
            <w:tcBorders>
              <w:top w:val="nil"/>
              <w:left w:val="nil"/>
              <w:bottom w:val="nil"/>
              <w:right w:val="nil"/>
            </w:tcBorders>
            <w:shd w:val="clear" w:color="000000" w:fill="F2F2F2"/>
            <w:vAlign w:val="center"/>
            <w:hideMark/>
          </w:tcPr>
          <w:p w14:paraId="0F62A6EE"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110,825,880,071.4</w:t>
            </w:r>
          </w:p>
        </w:tc>
      </w:tr>
      <w:tr w:rsidR="003A2B0B" w:rsidRPr="003A2B0B" w14:paraId="1F715ED8" w14:textId="77777777" w:rsidTr="003A2B0B">
        <w:trPr>
          <w:trHeight w:val="305"/>
          <w:jc w:val="center"/>
        </w:trPr>
        <w:tc>
          <w:tcPr>
            <w:tcW w:w="5889" w:type="dxa"/>
            <w:tcBorders>
              <w:top w:val="nil"/>
              <w:left w:val="nil"/>
              <w:bottom w:val="nil"/>
              <w:right w:val="nil"/>
            </w:tcBorders>
            <w:shd w:val="clear" w:color="000000" w:fill="F2F2F2"/>
            <w:vAlign w:val="center"/>
            <w:hideMark/>
          </w:tcPr>
          <w:p w14:paraId="6C67C9CC"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Depósitos de Fondos de Terceros en Garantía y/o Administración </w:t>
            </w:r>
            <w:r w:rsidRPr="003A2B0B">
              <w:rPr>
                <w:rFonts w:ascii="Montserrat" w:eastAsia="Times New Roman" w:hAnsi="Montserrat"/>
                <w:b/>
                <w:bCs/>
                <w:color w:val="000000"/>
                <w:sz w:val="15"/>
                <w:szCs w:val="15"/>
                <w:lang w:val="es-MX" w:eastAsia="es-MX"/>
              </w:rPr>
              <w:t>(1.1.b)</w:t>
            </w:r>
          </w:p>
        </w:tc>
        <w:tc>
          <w:tcPr>
            <w:tcW w:w="2114" w:type="dxa"/>
            <w:tcBorders>
              <w:top w:val="nil"/>
              <w:left w:val="nil"/>
              <w:bottom w:val="nil"/>
              <w:right w:val="nil"/>
            </w:tcBorders>
            <w:shd w:val="clear" w:color="000000" w:fill="F2F2F2"/>
            <w:vAlign w:val="center"/>
            <w:hideMark/>
          </w:tcPr>
          <w:p w14:paraId="64B587F3"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34,542,378,003.6</w:t>
            </w:r>
          </w:p>
        </w:tc>
        <w:tc>
          <w:tcPr>
            <w:tcW w:w="2092" w:type="dxa"/>
            <w:tcBorders>
              <w:top w:val="nil"/>
              <w:left w:val="nil"/>
              <w:bottom w:val="nil"/>
              <w:right w:val="nil"/>
            </w:tcBorders>
            <w:shd w:val="clear" w:color="000000" w:fill="F2F2F2"/>
            <w:vAlign w:val="center"/>
            <w:hideMark/>
          </w:tcPr>
          <w:p w14:paraId="232D6466"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213,404,522.8</w:t>
            </w:r>
          </w:p>
        </w:tc>
      </w:tr>
      <w:tr w:rsidR="003A2B0B" w:rsidRPr="003A2B0B" w14:paraId="6A3E7534" w14:textId="77777777" w:rsidTr="003A2B0B">
        <w:trPr>
          <w:trHeight w:val="235"/>
          <w:jc w:val="center"/>
        </w:trPr>
        <w:tc>
          <w:tcPr>
            <w:tcW w:w="5889" w:type="dxa"/>
            <w:tcBorders>
              <w:top w:val="nil"/>
              <w:left w:val="nil"/>
              <w:bottom w:val="nil"/>
              <w:right w:val="nil"/>
            </w:tcBorders>
            <w:shd w:val="clear" w:color="000000" w:fill="F2F2F2"/>
            <w:vAlign w:val="center"/>
            <w:hideMark/>
          </w:tcPr>
          <w:p w14:paraId="5B504A60"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Bancos/ Tesorería </w:t>
            </w:r>
            <w:r w:rsidRPr="003A2B0B">
              <w:rPr>
                <w:rFonts w:ascii="Montserrat" w:eastAsia="Times New Roman" w:hAnsi="Montserrat"/>
                <w:b/>
                <w:bCs/>
                <w:color w:val="000000"/>
                <w:sz w:val="15"/>
                <w:szCs w:val="15"/>
                <w:lang w:val="es-MX" w:eastAsia="es-MX"/>
              </w:rPr>
              <w:t>(1.1.c)</w:t>
            </w:r>
          </w:p>
        </w:tc>
        <w:tc>
          <w:tcPr>
            <w:tcW w:w="2114" w:type="dxa"/>
            <w:tcBorders>
              <w:top w:val="nil"/>
              <w:left w:val="nil"/>
              <w:bottom w:val="nil"/>
              <w:right w:val="nil"/>
            </w:tcBorders>
            <w:shd w:val="clear" w:color="000000" w:fill="F2F2F2"/>
            <w:vAlign w:val="center"/>
            <w:hideMark/>
          </w:tcPr>
          <w:p w14:paraId="324230C6"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8,616,096,725.2</w:t>
            </w:r>
          </w:p>
        </w:tc>
        <w:tc>
          <w:tcPr>
            <w:tcW w:w="2092" w:type="dxa"/>
            <w:tcBorders>
              <w:top w:val="nil"/>
              <w:left w:val="nil"/>
              <w:bottom w:val="nil"/>
              <w:right w:val="nil"/>
            </w:tcBorders>
            <w:shd w:val="clear" w:color="000000" w:fill="F2F2F2"/>
            <w:vAlign w:val="center"/>
            <w:hideMark/>
          </w:tcPr>
          <w:p w14:paraId="3055E4FC"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7,899,813,828.0</w:t>
            </w:r>
          </w:p>
        </w:tc>
      </w:tr>
      <w:tr w:rsidR="003A2B0B" w:rsidRPr="003A2B0B" w14:paraId="74D89D57" w14:textId="77777777" w:rsidTr="003A2B0B">
        <w:trPr>
          <w:trHeight w:val="235"/>
          <w:jc w:val="center"/>
        </w:trPr>
        <w:tc>
          <w:tcPr>
            <w:tcW w:w="5889" w:type="dxa"/>
            <w:tcBorders>
              <w:top w:val="nil"/>
              <w:left w:val="nil"/>
              <w:bottom w:val="nil"/>
              <w:right w:val="nil"/>
            </w:tcBorders>
            <w:shd w:val="clear" w:color="000000" w:fill="F2F2F2"/>
            <w:vAlign w:val="center"/>
            <w:hideMark/>
          </w:tcPr>
          <w:p w14:paraId="79234E0A"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Efectivo</w:t>
            </w:r>
          </w:p>
        </w:tc>
        <w:tc>
          <w:tcPr>
            <w:tcW w:w="2114" w:type="dxa"/>
            <w:tcBorders>
              <w:top w:val="nil"/>
              <w:left w:val="nil"/>
              <w:bottom w:val="nil"/>
              <w:right w:val="nil"/>
            </w:tcBorders>
            <w:shd w:val="clear" w:color="000000" w:fill="F2F2F2"/>
            <w:vAlign w:val="center"/>
            <w:hideMark/>
          </w:tcPr>
          <w:p w14:paraId="5A75C307"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35,850,648.6</w:t>
            </w:r>
          </w:p>
        </w:tc>
        <w:tc>
          <w:tcPr>
            <w:tcW w:w="2092" w:type="dxa"/>
            <w:tcBorders>
              <w:top w:val="nil"/>
              <w:left w:val="nil"/>
              <w:bottom w:val="nil"/>
              <w:right w:val="nil"/>
            </w:tcBorders>
            <w:shd w:val="clear" w:color="000000" w:fill="F2F2F2"/>
            <w:vAlign w:val="center"/>
            <w:hideMark/>
          </w:tcPr>
          <w:p w14:paraId="72C7C4DF"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35,912,383.5</w:t>
            </w:r>
          </w:p>
        </w:tc>
      </w:tr>
      <w:tr w:rsidR="003A2B0B" w:rsidRPr="003A2B0B" w14:paraId="26C76DAC" w14:textId="77777777" w:rsidTr="003A2B0B">
        <w:trPr>
          <w:trHeight w:val="246"/>
          <w:jc w:val="center"/>
        </w:trPr>
        <w:tc>
          <w:tcPr>
            <w:tcW w:w="5889" w:type="dxa"/>
            <w:tcBorders>
              <w:top w:val="nil"/>
              <w:left w:val="nil"/>
              <w:bottom w:val="single" w:sz="12" w:space="0" w:color="808080"/>
              <w:right w:val="nil"/>
            </w:tcBorders>
            <w:shd w:val="clear" w:color="000000" w:fill="F2F2F2"/>
            <w:vAlign w:val="center"/>
            <w:hideMark/>
          </w:tcPr>
          <w:p w14:paraId="3518F609" w14:textId="77777777" w:rsidR="003A2B0B" w:rsidRPr="003A2B0B" w:rsidRDefault="003A2B0B" w:rsidP="003A2B0B">
            <w:pPr>
              <w:spacing w:after="0" w:line="240" w:lineRule="auto"/>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Total Efectivo y Equivalentes</w:t>
            </w:r>
          </w:p>
        </w:tc>
        <w:tc>
          <w:tcPr>
            <w:tcW w:w="2114" w:type="dxa"/>
            <w:tcBorders>
              <w:top w:val="nil"/>
              <w:left w:val="nil"/>
              <w:bottom w:val="single" w:sz="12" w:space="0" w:color="808080"/>
              <w:right w:val="nil"/>
            </w:tcBorders>
            <w:shd w:val="clear" w:color="000000" w:fill="F2F2F2"/>
            <w:vAlign w:val="center"/>
            <w:hideMark/>
          </w:tcPr>
          <w:p w14:paraId="19A3929C" w14:textId="77777777" w:rsidR="003A2B0B" w:rsidRPr="003A2B0B" w:rsidRDefault="003A2B0B" w:rsidP="003A2B0B">
            <w:pPr>
              <w:spacing w:after="0" w:line="240" w:lineRule="auto"/>
              <w:jc w:val="right"/>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117,215,987,029.9</w:t>
            </w:r>
          </w:p>
        </w:tc>
        <w:tc>
          <w:tcPr>
            <w:tcW w:w="2092" w:type="dxa"/>
            <w:tcBorders>
              <w:top w:val="nil"/>
              <w:left w:val="nil"/>
              <w:bottom w:val="single" w:sz="12" w:space="0" w:color="808080"/>
              <w:right w:val="nil"/>
            </w:tcBorders>
            <w:shd w:val="clear" w:color="000000" w:fill="F2F2F2"/>
            <w:vAlign w:val="center"/>
            <w:hideMark/>
          </w:tcPr>
          <w:p w14:paraId="333C2E42" w14:textId="77777777" w:rsidR="003A2B0B" w:rsidRPr="003A2B0B" w:rsidRDefault="003A2B0B" w:rsidP="003A2B0B">
            <w:pPr>
              <w:spacing w:after="0" w:line="240" w:lineRule="auto"/>
              <w:jc w:val="right"/>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118,975,010,805.7</w:t>
            </w:r>
          </w:p>
        </w:tc>
      </w:tr>
    </w:tbl>
    <w:p w14:paraId="4BC73534" w14:textId="77777777" w:rsidR="003A2B0B" w:rsidRDefault="003A2B0B" w:rsidP="00757F9F">
      <w:pPr>
        <w:pStyle w:val="TEXTONORMAL"/>
      </w:pPr>
    </w:p>
    <w:p w14:paraId="3450DDF0" w14:textId="77777777" w:rsidR="00757F9F" w:rsidRPr="00757F9F" w:rsidRDefault="00757F9F" w:rsidP="00757F9F">
      <w:pPr>
        <w:pStyle w:val="TEXTONORMAL"/>
      </w:pPr>
    </w:p>
    <w:p w14:paraId="1D5F160F" w14:textId="77777777" w:rsidR="00B04FD2" w:rsidRDefault="00B04FD2" w:rsidP="003F2A12">
      <w:pPr>
        <w:pStyle w:val="TEXTONORMAL"/>
        <w:numPr>
          <w:ilvl w:val="0"/>
          <w:numId w:val="84"/>
        </w:numPr>
        <w:rPr>
          <w:lang w:val="es-MX"/>
        </w:rPr>
      </w:pPr>
      <w:r w:rsidRPr="00172A06">
        <w:rPr>
          <w:b/>
          <w:lang w:val="es-MX"/>
        </w:rPr>
        <w:t>1.1.a)</w:t>
      </w:r>
      <w:r w:rsidRPr="00172A06">
        <w:rPr>
          <w:lang w:val="es-MX"/>
        </w:rPr>
        <w:t xml:space="preserve"> </w:t>
      </w:r>
      <w:r w:rsidR="00D20286" w:rsidRPr="00A84E49">
        <w:rPr>
          <w:lang w:val="es-MX"/>
        </w:rPr>
        <w:t xml:space="preserve">El </w:t>
      </w:r>
      <w:r w:rsidR="00450C2E">
        <w:rPr>
          <w:lang w:val="es-MX"/>
        </w:rPr>
        <w:t>decremento</w:t>
      </w:r>
      <w:r w:rsidR="00D20286" w:rsidRPr="00A84E49">
        <w:rPr>
          <w:lang w:val="es-MX"/>
        </w:rPr>
        <w:t xml:space="preserve"> de </w:t>
      </w:r>
      <w:r w:rsidR="003A2B0B">
        <w:rPr>
          <w:lang w:val="es-MX"/>
        </w:rPr>
        <w:t>septiembre</w:t>
      </w:r>
      <w:r w:rsidR="00A748F2">
        <w:rPr>
          <w:lang w:val="es-MX"/>
        </w:rPr>
        <w:t xml:space="preserve"> </w:t>
      </w:r>
      <w:r w:rsidR="00D20286" w:rsidRPr="00A84E49">
        <w:rPr>
          <w:lang w:val="es-MX"/>
        </w:rPr>
        <w:t>2022 respecto de</w:t>
      </w:r>
      <w:r w:rsidR="00A748F2">
        <w:rPr>
          <w:lang w:val="es-MX"/>
        </w:rPr>
        <w:t xml:space="preserve"> diciembre</w:t>
      </w:r>
      <w:r w:rsidR="00D20286" w:rsidRPr="00A84E49">
        <w:rPr>
          <w:lang w:val="es-MX"/>
        </w:rPr>
        <w:t xml:space="preserve"> 2021</w:t>
      </w:r>
      <w:r w:rsidRPr="00A84E49">
        <w:rPr>
          <w:lang w:val="es-MX"/>
        </w:rPr>
        <w:t xml:space="preserve"> en el rubro de Inversiones Temporales, deriva </w:t>
      </w:r>
      <w:r w:rsidR="00D70D8E">
        <w:rPr>
          <w:lang w:val="es-MX"/>
        </w:rPr>
        <w:t xml:space="preserve">del </w:t>
      </w:r>
      <w:r w:rsidRPr="00A84E49">
        <w:rPr>
          <w:lang w:val="es-MX"/>
        </w:rPr>
        <w:t xml:space="preserve">cumplimiento a las </w:t>
      </w:r>
      <w:r w:rsidR="00D70D8E" w:rsidRPr="00CB1C97">
        <w:t>“P</w:t>
      </w:r>
      <w:r w:rsidR="00D70D8E">
        <w:t>olíticas y Directrices para la I</w:t>
      </w:r>
      <w:r w:rsidR="00D70D8E" w:rsidRPr="00CB1C97">
        <w:t xml:space="preserve">nversión de las Reservas Operativas y la Reserva de Operación para Contingencias y Financiamiento”, </w:t>
      </w:r>
      <w:r w:rsidRPr="00A84E49">
        <w:rPr>
          <w:lang w:val="es-MX"/>
        </w:rPr>
        <w:t>donde se amplió el plazo de inversión de 1 a 3 años</w:t>
      </w:r>
      <w:r w:rsidR="00AF07F9" w:rsidRPr="00A84E49">
        <w:rPr>
          <w:lang w:val="es-MX"/>
        </w:rPr>
        <w:t>.</w:t>
      </w:r>
    </w:p>
    <w:p w14:paraId="63DDF711" w14:textId="77777777" w:rsidR="00393450" w:rsidRDefault="00393450" w:rsidP="00393450">
      <w:pPr>
        <w:pStyle w:val="TEXTONORMAL"/>
        <w:ind w:left="720"/>
        <w:rPr>
          <w:lang w:val="es-MX"/>
        </w:rPr>
      </w:pPr>
    </w:p>
    <w:p w14:paraId="555C3B2A" w14:textId="77777777" w:rsidR="000757F6" w:rsidRDefault="000757F6" w:rsidP="003F2A12">
      <w:pPr>
        <w:pStyle w:val="TEXTONORMAL"/>
        <w:numPr>
          <w:ilvl w:val="0"/>
          <w:numId w:val="84"/>
        </w:numPr>
        <w:rPr>
          <w:lang w:val="es-MX"/>
        </w:rPr>
      </w:pPr>
      <w:r w:rsidRPr="00D377B1">
        <w:rPr>
          <w:b/>
          <w:lang w:val="es-MX"/>
        </w:rPr>
        <w:t>1.1.</w:t>
      </w:r>
      <w:r w:rsidR="000F6BAE">
        <w:rPr>
          <w:b/>
          <w:lang w:val="es-MX"/>
        </w:rPr>
        <w:t>b</w:t>
      </w:r>
      <w:r w:rsidRPr="00D377B1">
        <w:rPr>
          <w:b/>
          <w:lang w:val="es-MX"/>
        </w:rPr>
        <w:t>)</w:t>
      </w:r>
      <w:r w:rsidRPr="00D377B1">
        <w:rPr>
          <w:lang w:val="es-MX"/>
        </w:rPr>
        <w:t xml:space="preserve"> </w:t>
      </w:r>
      <w:r w:rsidR="000F6BAE" w:rsidRPr="00D377B1">
        <w:rPr>
          <w:lang w:val="es-MX"/>
        </w:rPr>
        <w:t>Corresponde al saldo de las aportaciones del Gobierno Federal para las Pensiones en curso de pago, de conformidad con el artículo Duodécimo transitorio de la Ley del Seguro Social vigente a partir del 01 de julio de 1997,</w:t>
      </w:r>
      <w:r w:rsidR="000F6BAE">
        <w:rPr>
          <w:lang w:val="es-MX"/>
        </w:rPr>
        <w:t xml:space="preserve"> e</w:t>
      </w:r>
      <w:r w:rsidR="000F6BAE" w:rsidRPr="00D377B1">
        <w:rPr>
          <w:lang w:val="es-MX"/>
        </w:rPr>
        <w:t>l Instituto administra dichas pensiones con base en el “Convenio de Coordinación para la Determinación de las Comisiones y Costos Operativos por la Administración y Pago de las Pensiones y Prestaciones a Cargo del Gobierno Federal” suscrito por el Instituto y la Secretaría de Hacienda y Crédito Público.</w:t>
      </w:r>
    </w:p>
    <w:p w14:paraId="4E569AFD" w14:textId="77777777" w:rsidR="00393450" w:rsidRPr="00172A06" w:rsidRDefault="00393450" w:rsidP="00393450">
      <w:pPr>
        <w:pStyle w:val="TEXTONORMAL"/>
        <w:ind w:left="720"/>
        <w:rPr>
          <w:lang w:val="es-MX"/>
        </w:rPr>
      </w:pPr>
    </w:p>
    <w:p w14:paraId="6B84C8DB" w14:textId="77777777" w:rsidR="00296FD2" w:rsidRPr="00393450" w:rsidRDefault="00B04FD2" w:rsidP="005725BA">
      <w:pPr>
        <w:pStyle w:val="TEXTONORMAL"/>
        <w:numPr>
          <w:ilvl w:val="0"/>
          <w:numId w:val="84"/>
        </w:numPr>
        <w:rPr>
          <w:b/>
          <w:lang w:val="es-MX"/>
        </w:rPr>
      </w:pPr>
      <w:r w:rsidRPr="00D70D8E">
        <w:rPr>
          <w:b/>
          <w:lang w:val="es-MX"/>
        </w:rPr>
        <w:t>1.1.</w:t>
      </w:r>
      <w:r w:rsidR="000F6BAE" w:rsidRPr="00D70D8E">
        <w:rPr>
          <w:b/>
          <w:lang w:val="es-MX"/>
        </w:rPr>
        <w:t>c</w:t>
      </w:r>
      <w:r w:rsidRPr="00D70D8E">
        <w:rPr>
          <w:b/>
          <w:lang w:val="es-MX"/>
        </w:rPr>
        <w:t xml:space="preserve">) </w:t>
      </w:r>
      <w:r w:rsidRPr="00D70D8E">
        <w:rPr>
          <w:lang w:val="es-MX"/>
        </w:rPr>
        <w:t>Dentro del rubro de Bancos/T</w:t>
      </w:r>
      <w:r w:rsidR="00D20286" w:rsidRPr="00D70D8E">
        <w:rPr>
          <w:lang w:val="es-MX"/>
        </w:rPr>
        <w:t xml:space="preserve">esorería para </w:t>
      </w:r>
      <w:r w:rsidR="003A2B0B">
        <w:rPr>
          <w:lang w:val="es-MX"/>
        </w:rPr>
        <w:t xml:space="preserve">el </w:t>
      </w:r>
      <w:r w:rsidR="00EF6CE4" w:rsidRPr="00D70D8E">
        <w:t>30</w:t>
      </w:r>
      <w:r w:rsidR="003A2B0B">
        <w:t xml:space="preserve"> de</w:t>
      </w:r>
      <w:r w:rsidR="00511F97" w:rsidRPr="00D70D8E">
        <w:t xml:space="preserve"> </w:t>
      </w:r>
      <w:r w:rsidR="003A2B0B">
        <w:t xml:space="preserve">septiembre </w:t>
      </w:r>
      <w:r w:rsidR="00511F97" w:rsidRPr="00D70D8E">
        <w:t>de 2022 y el 31 de diciembre de 2021</w:t>
      </w:r>
      <w:r w:rsidRPr="00D70D8E">
        <w:rPr>
          <w:lang w:val="es-MX"/>
        </w:rPr>
        <w:t>, se</w:t>
      </w:r>
      <w:r w:rsidR="00675906">
        <w:rPr>
          <w:lang w:val="es-MX"/>
        </w:rPr>
        <w:t xml:space="preserve"> </w:t>
      </w:r>
      <w:r w:rsidRPr="00D70D8E">
        <w:rPr>
          <w:lang w:val="es-MX"/>
        </w:rPr>
        <w:t xml:space="preserve">tienen importes embargados y retenidos en diversas cuentas bancarias por </w:t>
      </w:r>
      <w:r w:rsidR="00D70D8E">
        <w:rPr>
          <w:lang w:val="es-MX"/>
        </w:rPr>
        <w:t>2</w:t>
      </w:r>
      <w:r w:rsidR="00675906">
        <w:rPr>
          <w:lang w:val="es-MX"/>
        </w:rPr>
        <w:t>14</w:t>
      </w:r>
      <w:r w:rsidR="00D70D8E">
        <w:rPr>
          <w:lang w:val="es-MX"/>
        </w:rPr>
        <w:t>,</w:t>
      </w:r>
      <w:r w:rsidR="00675906">
        <w:rPr>
          <w:lang w:val="es-MX"/>
        </w:rPr>
        <w:t>786</w:t>
      </w:r>
      <w:r w:rsidR="00D70D8E">
        <w:rPr>
          <w:lang w:val="es-MX"/>
        </w:rPr>
        <w:t>,</w:t>
      </w:r>
      <w:r w:rsidR="00675906">
        <w:rPr>
          <w:lang w:val="es-MX"/>
        </w:rPr>
        <w:t>209</w:t>
      </w:r>
      <w:r w:rsidR="00D70D8E">
        <w:rPr>
          <w:lang w:val="es-MX"/>
        </w:rPr>
        <w:t>.</w:t>
      </w:r>
      <w:r w:rsidR="00675906">
        <w:rPr>
          <w:lang w:val="es-MX"/>
        </w:rPr>
        <w:t>7</w:t>
      </w:r>
      <w:r w:rsidRPr="00D70D8E">
        <w:rPr>
          <w:lang w:val="es-MX"/>
        </w:rPr>
        <w:t xml:space="preserve"> pesos y </w:t>
      </w:r>
      <w:r w:rsidR="00AF07F9" w:rsidRPr="00D70D8E">
        <w:rPr>
          <w:lang w:val="es-MX"/>
        </w:rPr>
        <w:t>196,870,673.0 pesos</w:t>
      </w:r>
      <w:r w:rsidRPr="00D70D8E">
        <w:rPr>
          <w:lang w:val="es-MX"/>
        </w:rPr>
        <w:t xml:space="preserve">, </w:t>
      </w:r>
      <w:r w:rsidR="00D70D8E" w:rsidRPr="00D70D8E">
        <w:rPr>
          <w:lang w:val="es-MX"/>
        </w:rPr>
        <w:t xml:space="preserve">respectivamente, </w:t>
      </w:r>
      <w:r w:rsidR="00D70D8E">
        <w:rPr>
          <w:lang w:val="es-MX"/>
        </w:rPr>
        <w:t xml:space="preserve">aplicados </w:t>
      </w:r>
      <w:r w:rsidR="001A4D4B">
        <w:rPr>
          <w:lang w:val="es-MX"/>
        </w:rPr>
        <w:t>en</w:t>
      </w:r>
      <w:r w:rsidR="00D70D8E">
        <w:rPr>
          <w:lang w:val="es-MX"/>
        </w:rPr>
        <w:t xml:space="preserve"> 5</w:t>
      </w:r>
      <w:r w:rsidR="001A4D4B">
        <w:rPr>
          <w:lang w:val="es-MX"/>
        </w:rPr>
        <w:t>4</w:t>
      </w:r>
      <w:r w:rsidR="00D70D8E">
        <w:rPr>
          <w:lang w:val="es-MX"/>
        </w:rPr>
        <w:t xml:space="preserve"> cuentas bancarias a nivel nacional, </w:t>
      </w:r>
      <w:r w:rsidRPr="00D70D8E">
        <w:rPr>
          <w:lang w:val="es-MX"/>
        </w:rPr>
        <w:t xml:space="preserve">derivados de los autos de ejecución </w:t>
      </w:r>
      <w:r w:rsidR="007C327D" w:rsidRPr="00D70D8E">
        <w:rPr>
          <w:lang w:val="es-MX"/>
        </w:rPr>
        <w:t>emitidos</w:t>
      </w:r>
      <w:r w:rsidRPr="00D70D8E">
        <w:rPr>
          <w:lang w:val="es-MX"/>
        </w:rPr>
        <w:t xml:space="preserve"> por las autoridades jurisdiccionales competentes</w:t>
      </w:r>
      <w:r w:rsidR="00AF07F9" w:rsidRPr="00D70D8E">
        <w:rPr>
          <w:lang w:val="es-MX"/>
        </w:rPr>
        <w:t>.</w:t>
      </w:r>
      <w:r w:rsidR="00A748F2" w:rsidRPr="00D70D8E">
        <w:rPr>
          <w:lang w:val="es-MX"/>
        </w:rPr>
        <w:t xml:space="preserve"> </w:t>
      </w:r>
    </w:p>
    <w:p w14:paraId="601A5771" w14:textId="77777777" w:rsidR="00393450" w:rsidRPr="009A12D7" w:rsidRDefault="00393450" w:rsidP="00393450">
      <w:pPr>
        <w:pStyle w:val="TEXTONORMAL"/>
        <w:ind w:left="720"/>
        <w:rPr>
          <w:b/>
          <w:lang w:val="es-MX"/>
        </w:rPr>
      </w:pPr>
    </w:p>
    <w:p w14:paraId="6D997AD1" w14:textId="77777777" w:rsidR="009D5C48" w:rsidRPr="00120C31" w:rsidRDefault="005E70D6" w:rsidP="003F2A12">
      <w:pPr>
        <w:pStyle w:val="VIETAFLECHA"/>
        <w:numPr>
          <w:ilvl w:val="1"/>
          <w:numId w:val="11"/>
        </w:numPr>
        <w:ind w:left="357" w:hanging="357"/>
      </w:pPr>
      <w:r w:rsidRPr="008142BE">
        <w:rPr>
          <w:b/>
        </w:rPr>
        <w:t>1.2</w:t>
      </w:r>
      <w:r>
        <w:t xml:space="preserve"> </w:t>
      </w:r>
      <w:r w:rsidR="009D5C48" w:rsidRPr="00120C31">
        <w:t>Derechos a Recibir Efectivo o Equivalentes</w:t>
      </w:r>
    </w:p>
    <w:p w14:paraId="34098BED" w14:textId="77777777" w:rsidR="009D5C48" w:rsidRDefault="00D20286" w:rsidP="005725BA">
      <w:pPr>
        <w:pStyle w:val="TEXTONORMAL"/>
        <w:rPr>
          <w:lang w:val="es-MX"/>
        </w:rPr>
      </w:pPr>
      <w:r>
        <w:t xml:space="preserve">Al </w:t>
      </w:r>
      <w:r w:rsidR="003A2B0B">
        <w:t>30</w:t>
      </w:r>
      <w:r>
        <w:t xml:space="preserve"> de </w:t>
      </w:r>
      <w:r w:rsidR="003A2B0B">
        <w:t>septiembre</w:t>
      </w:r>
      <w:r>
        <w:t xml:space="preserve"> de 2022</w:t>
      </w:r>
      <w:r w:rsidRPr="000B2CE4">
        <w:t xml:space="preserve"> y </w:t>
      </w:r>
      <w:r w:rsidR="00716B76">
        <w:t xml:space="preserve">al </w:t>
      </w:r>
      <w:r>
        <w:t>31 de diciembre de 2021</w:t>
      </w:r>
      <w:r w:rsidR="009D5C48" w:rsidRPr="00A62E4D">
        <w:rPr>
          <w:lang w:val="es-MX"/>
        </w:rPr>
        <w:t>, el rubro de Derechos a Recibir Efectivo o Equivalentes se integra de la siguiente manera:</w:t>
      </w:r>
    </w:p>
    <w:p w14:paraId="6D49E16E" w14:textId="77777777" w:rsidR="009D5C48" w:rsidRDefault="009D5C48" w:rsidP="005725BA">
      <w:pPr>
        <w:pStyle w:val="TEXTONORMAL"/>
        <w:rPr>
          <w:lang w:val="es-MX"/>
        </w:rPr>
      </w:pPr>
    </w:p>
    <w:tbl>
      <w:tblPr>
        <w:tblW w:w="10215" w:type="dxa"/>
        <w:jc w:val="center"/>
        <w:tblCellMar>
          <w:left w:w="70" w:type="dxa"/>
          <w:right w:w="70" w:type="dxa"/>
        </w:tblCellMar>
        <w:tblLook w:val="04A0" w:firstRow="1" w:lastRow="0" w:firstColumn="1" w:lastColumn="0" w:noHBand="0" w:noVBand="1"/>
      </w:tblPr>
      <w:tblGrid>
        <w:gridCol w:w="5959"/>
        <w:gridCol w:w="2140"/>
        <w:gridCol w:w="2116"/>
      </w:tblGrid>
      <w:tr w:rsidR="003A2B0B" w:rsidRPr="003A2B0B" w14:paraId="4CF29832" w14:textId="77777777" w:rsidTr="003A2B0B">
        <w:trPr>
          <w:trHeight w:val="269"/>
          <w:jc w:val="center"/>
        </w:trPr>
        <w:tc>
          <w:tcPr>
            <w:tcW w:w="595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465A2D1A"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Concepto</w:t>
            </w:r>
          </w:p>
        </w:tc>
        <w:tc>
          <w:tcPr>
            <w:tcW w:w="425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C8106E8"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Cifras en pesos</w:t>
            </w:r>
          </w:p>
        </w:tc>
      </w:tr>
      <w:tr w:rsidR="003A2B0B" w:rsidRPr="003A2B0B" w14:paraId="2CA66A4B" w14:textId="77777777" w:rsidTr="003A2B0B">
        <w:trPr>
          <w:trHeight w:val="269"/>
          <w:jc w:val="center"/>
        </w:trPr>
        <w:tc>
          <w:tcPr>
            <w:tcW w:w="5959" w:type="dxa"/>
            <w:vMerge/>
            <w:tcBorders>
              <w:top w:val="single" w:sz="12" w:space="0" w:color="808080"/>
              <w:left w:val="nil"/>
              <w:bottom w:val="double" w:sz="6" w:space="0" w:color="808080"/>
              <w:right w:val="single" w:sz="12" w:space="0" w:color="FFFFFF"/>
            </w:tcBorders>
            <w:vAlign w:val="center"/>
            <w:hideMark/>
          </w:tcPr>
          <w:p w14:paraId="11C58C8F" w14:textId="77777777" w:rsidR="003A2B0B" w:rsidRPr="003A2B0B" w:rsidRDefault="003A2B0B" w:rsidP="003A2B0B">
            <w:pPr>
              <w:spacing w:after="0" w:line="240" w:lineRule="auto"/>
              <w:rPr>
                <w:rFonts w:ascii="Montserrat" w:eastAsia="Times New Roman" w:hAnsi="Montserrat"/>
                <w:b/>
                <w:bCs/>
                <w:color w:val="FFFFFF"/>
                <w:sz w:val="16"/>
                <w:szCs w:val="16"/>
                <w:lang w:val="es-MX" w:eastAsia="es-MX"/>
              </w:rPr>
            </w:pPr>
          </w:p>
        </w:tc>
        <w:tc>
          <w:tcPr>
            <w:tcW w:w="2140" w:type="dxa"/>
            <w:tcBorders>
              <w:top w:val="nil"/>
              <w:left w:val="nil"/>
              <w:bottom w:val="double" w:sz="6" w:space="0" w:color="808080"/>
              <w:right w:val="single" w:sz="12" w:space="0" w:color="FFFFFF"/>
            </w:tcBorders>
            <w:shd w:val="clear" w:color="000000" w:fill="D4C19C"/>
            <w:vAlign w:val="center"/>
            <w:hideMark/>
          </w:tcPr>
          <w:p w14:paraId="62AE0DFB"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2022</w:t>
            </w:r>
          </w:p>
        </w:tc>
        <w:tc>
          <w:tcPr>
            <w:tcW w:w="2116" w:type="dxa"/>
            <w:tcBorders>
              <w:top w:val="nil"/>
              <w:left w:val="nil"/>
              <w:bottom w:val="double" w:sz="6" w:space="0" w:color="808080"/>
              <w:right w:val="single" w:sz="12" w:space="0" w:color="FFFFFF"/>
            </w:tcBorders>
            <w:shd w:val="clear" w:color="000000" w:fill="D4C19C"/>
            <w:vAlign w:val="center"/>
            <w:hideMark/>
          </w:tcPr>
          <w:p w14:paraId="4A5B53B0" w14:textId="77777777" w:rsidR="003A2B0B" w:rsidRPr="003A2B0B" w:rsidRDefault="003A2B0B" w:rsidP="003A2B0B">
            <w:pPr>
              <w:spacing w:after="0" w:line="240" w:lineRule="auto"/>
              <w:jc w:val="center"/>
              <w:rPr>
                <w:rFonts w:ascii="Montserrat" w:eastAsia="Times New Roman" w:hAnsi="Montserrat"/>
                <w:b/>
                <w:bCs/>
                <w:color w:val="FFFFFF"/>
                <w:sz w:val="16"/>
                <w:szCs w:val="16"/>
                <w:lang w:val="es-MX" w:eastAsia="es-MX"/>
              </w:rPr>
            </w:pPr>
            <w:r w:rsidRPr="003A2B0B">
              <w:rPr>
                <w:rFonts w:ascii="Montserrat" w:eastAsia="Times New Roman" w:hAnsi="Montserrat"/>
                <w:b/>
                <w:bCs/>
                <w:color w:val="FFFFFF"/>
                <w:sz w:val="16"/>
                <w:szCs w:val="16"/>
                <w:lang w:val="es-MX" w:eastAsia="es-MX"/>
              </w:rPr>
              <w:t>2021</w:t>
            </w:r>
          </w:p>
        </w:tc>
      </w:tr>
      <w:tr w:rsidR="003A2B0B" w:rsidRPr="003A2B0B" w14:paraId="73443A06" w14:textId="77777777" w:rsidTr="003A2B0B">
        <w:trPr>
          <w:trHeight w:val="257"/>
          <w:jc w:val="center"/>
        </w:trPr>
        <w:tc>
          <w:tcPr>
            <w:tcW w:w="5959" w:type="dxa"/>
            <w:tcBorders>
              <w:top w:val="nil"/>
              <w:left w:val="nil"/>
              <w:bottom w:val="nil"/>
              <w:right w:val="nil"/>
            </w:tcBorders>
            <w:shd w:val="clear" w:color="000000" w:fill="F2F2F2"/>
            <w:vAlign w:val="center"/>
            <w:hideMark/>
          </w:tcPr>
          <w:p w14:paraId="0748938B"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Ingresos por Recuperar por Cuotas </w:t>
            </w:r>
            <w:r w:rsidR="00CF7DD8" w:rsidRPr="003A2B0B">
              <w:rPr>
                <w:rFonts w:ascii="Montserrat" w:eastAsia="Times New Roman" w:hAnsi="Montserrat"/>
                <w:color w:val="000000"/>
                <w:sz w:val="15"/>
                <w:szCs w:val="15"/>
                <w:lang w:val="es-MX" w:eastAsia="es-MX"/>
              </w:rPr>
              <w:t>Obrero-Patronales</w:t>
            </w:r>
            <w:r w:rsidRPr="003A2B0B">
              <w:rPr>
                <w:rFonts w:ascii="Montserrat" w:eastAsia="Times New Roman" w:hAnsi="Montserrat"/>
                <w:color w:val="000000"/>
                <w:sz w:val="15"/>
                <w:szCs w:val="15"/>
                <w:lang w:val="es-MX" w:eastAsia="es-MX"/>
              </w:rPr>
              <w:t xml:space="preserve"> </w:t>
            </w:r>
            <w:r w:rsidRPr="003A2B0B">
              <w:rPr>
                <w:rFonts w:ascii="Montserrat" w:eastAsia="Times New Roman" w:hAnsi="Montserrat"/>
                <w:b/>
                <w:bCs/>
                <w:color w:val="000000"/>
                <w:sz w:val="15"/>
                <w:szCs w:val="15"/>
                <w:lang w:val="es-MX" w:eastAsia="es-MX"/>
              </w:rPr>
              <w:t>(1.2.a)</w:t>
            </w:r>
          </w:p>
        </w:tc>
        <w:tc>
          <w:tcPr>
            <w:tcW w:w="2140" w:type="dxa"/>
            <w:tcBorders>
              <w:top w:val="nil"/>
              <w:left w:val="nil"/>
              <w:bottom w:val="nil"/>
              <w:right w:val="nil"/>
            </w:tcBorders>
            <w:shd w:val="clear" w:color="000000" w:fill="F2F2F2"/>
            <w:vAlign w:val="center"/>
            <w:hideMark/>
          </w:tcPr>
          <w:p w14:paraId="0650FC3D"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93,296,227,729.4</w:t>
            </w:r>
          </w:p>
        </w:tc>
        <w:tc>
          <w:tcPr>
            <w:tcW w:w="2116" w:type="dxa"/>
            <w:tcBorders>
              <w:top w:val="nil"/>
              <w:left w:val="nil"/>
              <w:bottom w:val="nil"/>
              <w:right w:val="nil"/>
            </w:tcBorders>
            <w:shd w:val="clear" w:color="000000" w:fill="F2F2F2"/>
            <w:vAlign w:val="center"/>
            <w:hideMark/>
          </w:tcPr>
          <w:p w14:paraId="6BE9613C"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87,290,634,313.4</w:t>
            </w:r>
          </w:p>
        </w:tc>
      </w:tr>
      <w:tr w:rsidR="003A2B0B" w:rsidRPr="003A2B0B" w14:paraId="2D799433" w14:textId="77777777" w:rsidTr="003A2B0B">
        <w:trPr>
          <w:trHeight w:val="245"/>
          <w:jc w:val="center"/>
        </w:trPr>
        <w:tc>
          <w:tcPr>
            <w:tcW w:w="5959" w:type="dxa"/>
            <w:tcBorders>
              <w:top w:val="nil"/>
              <w:left w:val="nil"/>
              <w:bottom w:val="nil"/>
              <w:right w:val="nil"/>
            </w:tcBorders>
            <w:shd w:val="clear" w:color="000000" w:fill="F2F2F2"/>
            <w:vAlign w:val="center"/>
            <w:hideMark/>
          </w:tcPr>
          <w:p w14:paraId="1B72E281"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Inversiones Financieras a Corto Plazo </w:t>
            </w:r>
          </w:p>
        </w:tc>
        <w:tc>
          <w:tcPr>
            <w:tcW w:w="2140" w:type="dxa"/>
            <w:tcBorders>
              <w:top w:val="nil"/>
              <w:left w:val="nil"/>
              <w:bottom w:val="nil"/>
              <w:right w:val="nil"/>
            </w:tcBorders>
            <w:shd w:val="clear" w:color="000000" w:fill="F2F2F2"/>
            <w:vAlign w:val="center"/>
            <w:hideMark/>
          </w:tcPr>
          <w:p w14:paraId="21683F1D"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21,515,496,440.3</w:t>
            </w:r>
          </w:p>
        </w:tc>
        <w:tc>
          <w:tcPr>
            <w:tcW w:w="2116" w:type="dxa"/>
            <w:tcBorders>
              <w:top w:val="nil"/>
              <w:left w:val="nil"/>
              <w:bottom w:val="nil"/>
              <w:right w:val="nil"/>
            </w:tcBorders>
            <w:shd w:val="clear" w:color="000000" w:fill="F2F2F2"/>
            <w:vAlign w:val="center"/>
            <w:hideMark/>
          </w:tcPr>
          <w:p w14:paraId="374A039E"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22,016,988,111.7</w:t>
            </w:r>
          </w:p>
        </w:tc>
      </w:tr>
      <w:tr w:rsidR="003A2B0B" w:rsidRPr="003A2B0B" w14:paraId="55384E0D" w14:textId="77777777" w:rsidTr="003A2B0B">
        <w:trPr>
          <w:trHeight w:val="245"/>
          <w:jc w:val="center"/>
        </w:trPr>
        <w:tc>
          <w:tcPr>
            <w:tcW w:w="5959" w:type="dxa"/>
            <w:tcBorders>
              <w:top w:val="nil"/>
              <w:left w:val="nil"/>
              <w:bottom w:val="nil"/>
              <w:right w:val="nil"/>
            </w:tcBorders>
            <w:shd w:val="clear" w:color="000000" w:fill="F2F2F2"/>
            <w:vAlign w:val="center"/>
            <w:hideMark/>
          </w:tcPr>
          <w:p w14:paraId="2C372D2A"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Deudores Diversos </w:t>
            </w:r>
            <w:r w:rsidRPr="003A2B0B">
              <w:rPr>
                <w:rFonts w:ascii="Montserrat" w:eastAsia="Times New Roman" w:hAnsi="Montserrat"/>
                <w:b/>
                <w:bCs/>
                <w:color w:val="000000"/>
                <w:sz w:val="15"/>
                <w:szCs w:val="15"/>
                <w:lang w:val="es-MX" w:eastAsia="es-MX"/>
              </w:rPr>
              <w:t>(1.2.b)</w:t>
            </w:r>
          </w:p>
        </w:tc>
        <w:tc>
          <w:tcPr>
            <w:tcW w:w="2140" w:type="dxa"/>
            <w:tcBorders>
              <w:top w:val="nil"/>
              <w:left w:val="nil"/>
              <w:bottom w:val="nil"/>
              <w:right w:val="nil"/>
            </w:tcBorders>
            <w:shd w:val="clear" w:color="000000" w:fill="F2F2F2"/>
            <w:vAlign w:val="center"/>
            <w:hideMark/>
          </w:tcPr>
          <w:p w14:paraId="5BCC666B"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7,783,316,097.0</w:t>
            </w:r>
          </w:p>
        </w:tc>
        <w:tc>
          <w:tcPr>
            <w:tcW w:w="2116" w:type="dxa"/>
            <w:tcBorders>
              <w:top w:val="nil"/>
              <w:left w:val="nil"/>
              <w:bottom w:val="nil"/>
              <w:right w:val="nil"/>
            </w:tcBorders>
            <w:shd w:val="clear" w:color="000000" w:fill="F2F2F2"/>
            <w:vAlign w:val="center"/>
            <w:hideMark/>
          </w:tcPr>
          <w:p w14:paraId="4B81FF9F"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8,020,435,139.4</w:t>
            </w:r>
          </w:p>
        </w:tc>
      </w:tr>
      <w:tr w:rsidR="003A2B0B" w:rsidRPr="003A2B0B" w14:paraId="4AA257C0" w14:textId="77777777" w:rsidTr="003A2B0B">
        <w:trPr>
          <w:trHeight w:val="245"/>
          <w:jc w:val="center"/>
        </w:trPr>
        <w:tc>
          <w:tcPr>
            <w:tcW w:w="5959" w:type="dxa"/>
            <w:tcBorders>
              <w:top w:val="nil"/>
              <w:left w:val="nil"/>
              <w:bottom w:val="nil"/>
              <w:right w:val="nil"/>
            </w:tcBorders>
            <w:shd w:val="clear" w:color="000000" w:fill="F2F2F2"/>
            <w:vAlign w:val="center"/>
            <w:hideMark/>
          </w:tcPr>
          <w:p w14:paraId="6C173A03"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Cuentas por Cobrar </w:t>
            </w:r>
            <w:r w:rsidRPr="003A2B0B">
              <w:rPr>
                <w:rFonts w:ascii="Montserrat" w:eastAsia="Times New Roman" w:hAnsi="Montserrat"/>
                <w:b/>
                <w:bCs/>
                <w:color w:val="000000"/>
                <w:sz w:val="15"/>
                <w:szCs w:val="15"/>
                <w:lang w:val="es-MX" w:eastAsia="es-MX"/>
              </w:rPr>
              <w:t>(1.2.d)</w:t>
            </w:r>
          </w:p>
        </w:tc>
        <w:tc>
          <w:tcPr>
            <w:tcW w:w="2140" w:type="dxa"/>
            <w:tcBorders>
              <w:top w:val="nil"/>
              <w:left w:val="nil"/>
              <w:bottom w:val="nil"/>
              <w:right w:val="nil"/>
            </w:tcBorders>
            <w:shd w:val="clear" w:color="000000" w:fill="F2F2F2"/>
            <w:vAlign w:val="center"/>
            <w:hideMark/>
          </w:tcPr>
          <w:p w14:paraId="52197781"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2,331,824,647.3</w:t>
            </w:r>
          </w:p>
        </w:tc>
        <w:tc>
          <w:tcPr>
            <w:tcW w:w="2116" w:type="dxa"/>
            <w:tcBorders>
              <w:top w:val="nil"/>
              <w:left w:val="nil"/>
              <w:bottom w:val="nil"/>
              <w:right w:val="nil"/>
            </w:tcBorders>
            <w:shd w:val="clear" w:color="000000" w:fill="F2F2F2"/>
            <w:vAlign w:val="center"/>
            <w:hideMark/>
          </w:tcPr>
          <w:p w14:paraId="360A77CA"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1,695,476,665.9</w:t>
            </w:r>
          </w:p>
        </w:tc>
      </w:tr>
      <w:tr w:rsidR="003A2B0B" w:rsidRPr="003A2B0B" w14:paraId="4211230F" w14:textId="77777777" w:rsidTr="003A2B0B">
        <w:trPr>
          <w:trHeight w:val="245"/>
          <w:jc w:val="center"/>
        </w:trPr>
        <w:tc>
          <w:tcPr>
            <w:tcW w:w="5959" w:type="dxa"/>
            <w:tcBorders>
              <w:top w:val="nil"/>
              <w:left w:val="nil"/>
              <w:bottom w:val="nil"/>
              <w:right w:val="nil"/>
            </w:tcBorders>
            <w:shd w:val="clear" w:color="000000" w:fill="F2F2F2"/>
            <w:vAlign w:val="center"/>
            <w:hideMark/>
          </w:tcPr>
          <w:p w14:paraId="510D32A5" w14:textId="77777777" w:rsidR="003A2B0B" w:rsidRPr="003A2B0B" w:rsidRDefault="003A2B0B" w:rsidP="003A2B0B">
            <w:pPr>
              <w:spacing w:after="0" w:line="240" w:lineRule="auto"/>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 xml:space="preserve">Otros Derechos a Recibir Efectivo y Equivalentes </w:t>
            </w:r>
            <w:r w:rsidRPr="003A2B0B">
              <w:rPr>
                <w:rFonts w:ascii="Montserrat" w:eastAsia="Times New Roman" w:hAnsi="Montserrat"/>
                <w:b/>
                <w:bCs/>
                <w:color w:val="000000"/>
                <w:sz w:val="15"/>
                <w:szCs w:val="15"/>
                <w:lang w:val="es-MX" w:eastAsia="es-MX"/>
              </w:rPr>
              <w:t>(1.2.c)</w:t>
            </w:r>
          </w:p>
        </w:tc>
        <w:tc>
          <w:tcPr>
            <w:tcW w:w="2140" w:type="dxa"/>
            <w:tcBorders>
              <w:top w:val="nil"/>
              <w:left w:val="nil"/>
              <w:bottom w:val="nil"/>
              <w:right w:val="nil"/>
            </w:tcBorders>
            <w:shd w:val="clear" w:color="000000" w:fill="F2F2F2"/>
            <w:vAlign w:val="center"/>
            <w:hideMark/>
          </w:tcPr>
          <w:p w14:paraId="025CD23D"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30,469,901.3</w:t>
            </w:r>
          </w:p>
        </w:tc>
        <w:tc>
          <w:tcPr>
            <w:tcW w:w="2116" w:type="dxa"/>
            <w:tcBorders>
              <w:top w:val="nil"/>
              <w:left w:val="nil"/>
              <w:bottom w:val="nil"/>
              <w:right w:val="nil"/>
            </w:tcBorders>
            <w:shd w:val="clear" w:color="000000" w:fill="F2F2F2"/>
            <w:vAlign w:val="center"/>
            <w:hideMark/>
          </w:tcPr>
          <w:p w14:paraId="3DFA3006" w14:textId="77777777" w:rsidR="003A2B0B" w:rsidRPr="003A2B0B" w:rsidRDefault="003A2B0B" w:rsidP="003A2B0B">
            <w:pPr>
              <w:spacing w:after="0" w:line="240" w:lineRule="auto"/>
              <w:jc w:val="right"/>
              <w:rPr>
                <w:rFonts w:ascii="Montserrat" w:eastAsia="Times New Roman" w:hAnsi="Montserrat"/>
                <w:color w:val="000000"/>
                <w:sz w:val="15"/>
                <w:szCs w:val="15"/>
                <w:lang w:val="es-MX" w:eastAsia="es-MX"/>
              </w:rPr>
            </w:pPr>
            <w:r w:rsidRPr="003A2B0B">
              <w:rPr>
                <w:rFonts w:ascii="Montserrat" w:eastAsia="Times New Roman" w:hAnsi="Montserrat"/>
                <w:color w:val="000000"/>
                <w:sz w:val="15"/>
                <w:szCs w:val="15"/>
                <w:lang w:val="es-MX" w:eastAsia="es-MX"/>
              </w:rPr>
              <w:t>6,530,054,735.2</w:t>
            </w:r>
          </w:p>
        </w:tc>
      </w:tr>
      <w:tr w:rsidR="003A2B0B" w:rsidRPr="003A2B0B" w14:paraId="6FA12931" w14:textId="77777777" w:rsidTr="003A2B0B">
        <w:trPr>
          <w:trHeight w:val="257"/>
          <w:jc w:val="center"/>
        </w:trPr>
        <w:tc>
          <w:tcPr>
            <w:tcW w:w="5959" w:type="dxa"/>
            <w:tcBorders>
              <w:top w:val="nil"/>
              <w:left w:val="nil"/>
              <w:bottom w:val="single" w:sz="12" w:space="0" w:color="808080"/>
              <w:right w:val="nil"/>
            </w:tcBorders>
            <w:shd w:val="clear" w:color="000000" w:fill="F2F2F2"/>
            <w:vAlign w:val="center"/>
            <w:hideMark/>
          </w:tcPr>
          <w:p w14:paraId="267ACEDE" w14:textId="77777777" w:rsidR="003A2B0B" w:rsidRPr="003A2B0B" w:rsidRDefault="003A2B0B" w:rsidP="003A2B0B">
            <w:pPr>
              <w:spacing w:after="0" w:line="240" w:lineRule="auto"/>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Total Derechos a Recibir Efectivo o Equivalentes</w:t>
            </w:r>
          </w:p>
        </w:tc>
        <w:tc>
          <w:tcPr>
            <w:tcW w:w="2140" w:type="dxa"/>
            <w:tcBorders>
              <w:top w:val="nil"/>
              <w:left w:val="nil"/>
              <w:bottom w:val="single" w:sz="12" w:space="0" w:color="808080"/>
              <w:right w:val="nil"/>
            </w:tcBorders>
            <w:shd w:val="clear" w:color="000000" w:fill="F2F2F2"/>
            <w:vAlign w:val="center"/>
            <w:hideMark/>
          </w:tcPr>
          <w:p w14:paraId="505EDB03" w14:textId="77777777" w:rsidR="003A2B0B" w:rsidRPr="003A2B0B" w:rsidRDefault="003A2B0B" w:rsidP="003A2B0B">
            <w:pPr>
              <w:spacing w:after="0" w:line="240" w:lineRule="auto"/>
              <w:jc w:val="right"/>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124,957,334,815.</w:t>
            </w:r>
            <w:r w:rsidR="000A5E6C">
              <w:rPr>
                <w:rFonts w:ascii="Montserrat" w:eastAsia="Times New Roman" w:hAnsi="Montserrat"/>
                <w:b/>
                <w:bCs/>
                <w:color w:val="000000"/>
                <w:sz w:val="15"/>
                <w:szCs w:val="15"/>
                <w:lang w:val="es-MX" w:eastAsia="es-MX"/>
              </w:rPr>
              <w:t>3</w:t>
            </w:r>
          </w:p>
        </w:tc>
        <w:tc>
          <w:tcPr>
            <w:tcW w:w="2116" w:type="dxa"/>
            <w:tcBorders>
              <w:top w:val="nil"/>
              <w:left w:val="nil"/>
              <w:bottom w:val="single" w:sz="12" w:space="0" w:color="808080"/>
              <w:right w:val="nil"/>
            </w:tcBorders>
            <w:shd w:val="clear" w:color="000000" w:fill="F2F2F2"/>
            <w:vAlign w:val="center"/>
            <w:hideMark/>
          </w:tcPr>
          <w:p w14:paraId="6204DD0D" w14:textId="77777777" w:rsidR="003A2B0B" w:rsidRPr="003A2B0B" w:rsidRDefault="003A2B0B" w:rsidP="003A2B0B">
            <w:pPr>
              <w:spacing w:after="0" w:line="240" w:lineRule="auto"/>
              <w:jc w:val="right"/>
              <w:rPr>
                <w:rFonts w:ascii="Montserrat" w:eastAsia="Times New Roman" w:hAnsi="Montserrat"/>
                <w:b/>
                <w:bCs/>
                <w:color w:val="000000"/>
                <w:sz w:val="15"/>
                <w:szCs w:val="15"/>
                <w:lang w:val="es-MX" w:eastAsia="es-MX"/>
              </w:rPr>
            </w:pPr>
            <w:r w:rsidRPr="003A2B0B">
              <w:rPr>
                <w:rFonts w:ascii="Montserrat" w:eastAsia="Times New Roman" w:hAnsi="Montserrat"/>
                <w:b/>
                <w:bCs/>
                <w:color w:val="000000"/>
                <w:sz w:val="15"/>
                <w:szCs w:val="15"/>
                <w:lang w:val="es-MX" w:eastAsia="es-MX"/>
              </w:rPr>
              <w:t>125,553,588,965.6</w:t>
            </w:r>
          </w:p>
        </w:tc>
      </w:tr>
    </w:tbl>
    <w:p w14:paraId="14B6251B" w14:textId="77777777" w:rsidR="003A2B0B" w:rsidRDefault="003A2B0B" w:rsidP="005725BA">
      <w:pPr>
        <w:pStyle w:val="TEXTONORMAL"/>
        <w:rPr>
          <w:lang w:val="es-MX"/>
        </w:rPr>
      </w:pPr>
    </w:p>
    <w:p w14:paraId="2ABA2A4B" w14:textId="77777777" w:rsidR="009D5C48" w:rsidRDefault="009D5C48" w:rsidP="003F2A12">
      <w:pPr>
        <w:pStyle w:val="TEXTONORMAL"/>
        <w:numPr>
          <w:ilvl w:val="0"/>
          <w:numId w:val="12"/>
        </w:numPr>
        <w:ind w:left="714" w:hanging="357"/>
        <w:rPr>
          <w:lang w:val="es-MX"/>
        </w:rPr>
      </w:pPr>
      <w:r w:rsidRPr="00A50EDF">
        <w:rPr>
          <w:b/>
          <w:lang w:val="es-MX"/>
        </w:rPr>
        <w:t>1.2.a)</w:t>
      </w:r>
      <w:r>
        <w:rPr>
          <w:lang w:val="es-MX"/>
        </w:rPr>
        <w:t xml:space="preserve"> </w:t>
      </w:r>
      <w:r w:rsidR="003A2B0B">
        <w:t>Al 30 de septiembre</w:t>
      </w:r>
      <w:r w:rsidR="00F036B7">
        <w:t xml:space="preserve"> de 2022</w:t>
      </w:r>
      <w:r w:rsidR="00F036B7" w:rsidRPr="000B2CE4">
        <w:t xml:space="preserve"> y</w:t>
      </w:r>
      <w:r w:rsidR="00716B76">
        <w:t xml:space="preserve"> al</w:t>
      </w:r>
      <w:r w:rsidR="00F036B7" w:rsidRPr="000B2CE4">
        <w:t xml:space="preserve"> </w:t>
      </w:r>
      <w:r w:rsidR="00F036B7">
        <w:t>31 de diciembre de 2021</w:t>
      </w:r>
      <w:r w:rsidRPr="00A62E4D">
        <w:rPr>
          <w:lang w:val="es-MX"/>
        </w:rPr>
        <w:t>, el rubro de Ingresos por Recuperar por Cuotas Obrero-Patronales se integra de la siguiente manera:</w:t>
      </w:r>
    </w:p>
    <w:p w14:paraId="42F53C8A" w14:textId="77777777" w:rsidR="00E829CD" w:rsidRDefault="00E829CD" w:rsidP="00E829CD">
      <w:pPr>
        <w:pStyle w:val="TEXTONORMAL"/>
        <w:ind w:left="357"/>
        <w:rPr>
          <w:lang w:val="es-MX"/>
        </w:rPr>
      </w:pPr>
    </w:p>
    <w:tbl>
      <w:tblPr>
        <w:tblW w:w="10216" w:type="dxa"/>
        <w:jc w:val="center"/>
        <w:tblCellMar>
          <w:left w:w="70" w:type="dxa"/>
          <w:right w:w="70" w:type="dxa"/>
        </w:tblCellMar>
        <w:tblLook w:val="04A0" w:firstRow="1" w:lastRow="0" w:firstColumn="1" w:lastColumn="0" w:noHBand="0" w:noVBand="1"/>
      </w:tblPr>
      <w:tblGrid>
        <w:gridCol w:w="5959"/>
        <w:gridCol w:w="2140"/>
        <w:gridCol w:w="2117"/>
      </w:tblGrid>
      <w:tr w:rsidR="006D2C12" w:rsidRPr="006D2C12" w14:paraId="5F1FCBC6" w14:textId="77777777" w:rsidTr="006D2C12">
        <w:trPr>
          <w:trHeight w:val="264"/>
          <w:jc w:val="center"/>
        </w:trPr>
        <w:tc>
          <w:tcPr>
            <w:tcW w:w="595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52043F0" w14:textId="77777777" w:rsidR="006D2C12" w:rsidRPr="006D2C12" w:rsidRDefault="006D2C12" w:rsidP="006D2C12">
            <w:pPr>
              <w:spacing w:after="0" w:line="240" w:lineRule="auto"/>
              <w:jc w:val="center"/>
              <w:rPr>
                <w:rFonts w:ascii="Montserrat" w:eastAsia="Times New Roman" w:hAnsi="Montserrat"/>
                <w:b/>
                <w:bCs/>
                <w:color w:val="FFFFFF"/>
                <w:sz w:val="16"/>
                <w:szCs w:val="16"/>
                <w:lang w:val="es-MX" w:eastAsia="es-MX"/>
              </w:rPr>
            </w:pPr>
            <w:r w:rsidRPr="006D2C12">
              <w:rPr>
                <w:rFonts w:ascii="Montserrat" w:eastAsia="Times New Roman" w:hAnsi="Montserrat"/>
                <w:b/>
                <w:bCs/>
                <w:color w:val="FFFFFF"/>
                <w:sz w:val="16"/>
                <w:szCs w:val="16"/>
                <w:lang w:val="es-MX" w:eastAsia="es-MX"/>
              </w:rPr>
              <w:t>Concepto</w:t>
            </w:r>
          </w:p>
        </w:tc>
        <w:tc>
          <w:tcPr>
            <w:tcW w:w="425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1DB24CE" w14:textId="77777777" w:rsidR="006D2C12" w:rsidRPr="006D2C12" w:rsidRDefault="006D2C12" w:rsidP="006D2C12">
            <w:pPr>
              <w:spacing w:after="0" w:line="240" w:lineRule="auto"/>
              <w:jc w:val="center"/>
              <w:rPr>
                <w:rFonts w:ascii="Montserrat" w:eastAsia="Times New Roman" w:hAnsi="Montserrat"/>
                <w:b/>
                <w:bCs/>
                <w:color w:val="FFFFFF"/>
                <w:sz w:val="16"/>
                <w:szCs w:val="16"/>
                <w:lang w:val="es-MX" w:eastAsia="es-MX"/>
              </w:rPr>
            </w:pPr>
            <w:r w:rsidRPr="006D2C12">
              <w:rPr>
                <w:rFonts w:ascii="Montserrat" w:eastAsia="Times New Roman" w:hAnsi="Montserrat"/>
                <w:b/>
                <w:bCs/>
                <w:color w:val="FFFFFF"/>
                <w:sz w:val="16"/>
                <w:szCs w:val="16"/>
                <w:lang w:val="es-MX" w:eastAsia="es-MX"/>
              </w:rPr>
              <w:t>Cifras en pesos</w:t>
            </w:r>
          </w:p>
        </w:tc>
      </w:tr>
      <w:tr w:rsidR="006D2C12" w:rsidRPr="006D2C12" w14:paraId="6939EA82" w14:textId="77777777" w:rsidTr="006D2C12">
        <w:trPr>
          <w:trHeight w:val="264"/>
          <w:jc w:val="center"/>
        </w:trPr>
        <w:tc>
          <w:tcPr>
            <w:tcW w:w="5959" w:type="dxa"/>
            <w:vMerge/>
            <w:tcBorders>
              <w:top w:val="single" w:sz="12" w:space="0" w:color="808080"/>
              <w:left w:val="nil"/>
              <w:bottom w:val="double" w:sz="6" w:space="0" w:color="808080"/>
              <w:right w:val="single" w:sz="12" w:space="0" w:color="FFFFFF"/>
            </w:tcBorders>
            <w:vAlign w:val="center"/>
            <w:hideMark/>
          </w:tcPr>
          <w:p w14:paraId="61D95C12" w14:textId="77777777" w:rsidR="006D2C12" w:rsidRPr="006D2C12" w:rsidRDefault="006D2C12" w:rsidP="006D2C12">
            <w:pPr>
              <w:spacing w:after="0" w:line="240" w:lineRule="auto"/>
              <w:rPr>
                <w:rFonts w:ascii="Montserrat" w:eastAsia="Times New Roman" w:hAnsi="Montserrat"/>
                <w:b/>
                <w:bCs/>
                <w:color w:val="FFFFFF"/>
                <w:sz w:val="16"/>
                <w:szCs w:val="16"/>
                <w:lang w:val="es-MX" w:eastAsia="es-MX"/>
              </w:rPr>
            </w:pPr>
          </w:p>
        </w:tc>
        <w:tc>
          <w:tcPr>
            <w:tcW w:w="2140" w:type="dxa"/>
            <w:tcBorders>
              <w:top w:val="nil"/>
              <w:left w:val="nil"/>
              <w:bottom w:val="double" w:sz="6" w:space="0" w:color="808080"/>
              <w:right w:val="single" w:sz="12" w:space="0" w:color="FFFFFF"/>
            </w:tcBorders>
            <w:shd w:val="clear" w:color="000000" w:fill="D4C19C"/>
            <w:vAlign w:val="center"/>
            <w:hideMark/>
          </w:tcPr>
          <w:p w14:paraId="6AAE0304" w14:textId="77777777" w:rsidR="006D2C12" w:rsidRPr="006D2C12" w:rsidRDefault="006D2C12" w:rsidP="006D2C12">
            <w:pPr>
              <w:spacing w:after="0" w:line="240" w:lineRule="auto"/>
              <w:jc w:val="center"/>
              <w:rPr>
                <w:rFonts w:ascii="Montserrat" w:eastAsia="Times New Roman" w:hAnsi="Montserrat"/>
                <w:b/>
                <w:bCs/>
                <w:color w:val="FFFFFF"/>
                <w:sz w:val="16"/>
                <w:szCs w:val="16"/>
                <w:lang w:val="es-MX" w:eastAsia="es-MX"/>
              </w:rPr>
            </w:pPr>
            <w:r w:rsidRPr="006D2C12">
              <w:rPr>
                <w:rFonts w:ascii="Montserrat" w:eastAsia="Times New Roman" w:hAnsi="Montserrat"/>
                <w:b/>
                <w:bCs/>
                <w:color w:val="FFFFFF"/>
                <w:sz w:val="16"/>
                <w:szCs w:val="16"/>
                <w:lang w:val="es-MX" w:eastAsia="es-MX"/>
              </w:rPr>
              <w:t>2022</w:t>
            </w:r>
          </w:p>
        </w:tc>
        <w:tc>
          <w:tcPr>
            <w:tcW w:w="2117" w:type="dxa"/>
            <w:tcBorders>
              <w:top w:val="nil"/>
              <w:left w:val="nil"/>
              <w:bottom w:val="double" w:sz="6" w:space="0" w:color="808080"/>
              <w:right w:val="single" w:sz="12" w:space="0" w:color="FFFFFF"/>
            </w:tcBorders>
            <w:shd w:val="clear" w:color="000000" w:fill="D4C19C"/>
            <w:vAlign w:val="center"/>
            <w:hideMark/>
          </w:tcPr>
          <w:p w14:paraId="30B6A08C" w14:textId="77777777" w:rsidR="006D2C12" w:rsidRPr="006D2C12" w:rsidRDefault="006D2C12" w:rsidP="006D2C12">
            <w:pPr>
              <w:spacing w:after="0" w:line="240" w:lineRule="auto"/>
              <w:jc w:val="center"/>
              <w:rPr>
                <w:rFonts w:ascii="Montserrat" w:eastAsia="Times New Roman" w:hAnsi="Montserrat"/>
                <w:b/>
                <w:bCs/>
                <w:color w:val="FFFFFF"/>
                <w:sz w:val="16"/>
                <w:szCs w:val="16"/>
                <w:lang w:val="es-MX" w:eastAsia="es-MX"/>
              </w:rPr>
            </w:pPr>
            <w:r w:rsidRPr="006D2C12">
              <w:rPr>
                <w:rFonts w:ascii="Montserrat" w:eastAsia="Times New Roman" w:hAnsi="Montserrat"/>
                <w:b/>
                <w:bCs/>
                <w:color w:val="FFFFFF"/>
                <w:sz w:val="16"/>
                <w:szCs w:val="16"/>
                <w:lang w:val="es-MX" w:eastAsia="es-MX"/>
              </w:rPr>
              <w:t>2021</w:t>
            </w:r>
          </w:p>
        </w:tc>
      </w:tr>
      <w:tr w:rsidR="006D2C12" w:rsidRPr="006D2C12" w14:paraId="0C898F86" w14:textId="77777777" w:rsidTr="006D2C12">
        <w:trPr>
          <w:trHeight w:val="252"/>
          <w:jc w:val="center"/>
        </w:trPr>
        <w:tc>
          <w:tcPr>
            <w:tcW w:w="5959" w:type="dxa"/>
            <w:tcBorders>
              <w:top w:val="nil"/>
              <w:left w:val="nil"/>
              <w:bottom w:val="nil"/>
              <w:right w:val="nil"/>
            </w:tcBorders>
            <w:shd w:val="clear" w:color="000000" w:fill="F2F2F2"/>
            <w:vAlign w:val="center"/>
            <w:hideMark/>
          </w:tcPr>
          <w:p w14:paraId="6DE65A49" w14:textId="77777777" w:rsidR="006D2C12" w:rsidRPr="006D2C12" w:rsidRDefault="006D2C12" w:rsidP="006D2C12">
            <w:pPr>
              <w:spacing w:after="0" w:line="240" w:lineRule="auto"/>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Cuotas Obrero-Patronales</w:t>
            </w:r>
          </w:p>
        </w:tc>
        <w:tc>
          <w:tcPr>
            <w:tcW w:w="2140" w:type="dxa"/>
            <w:tcBorders>
              <w:top w:val="nil"/>
              <w:left w:val="nil"/>
              <w:bottom w:val="nil"/>
              <w:right w:val="nil"/>
            </w:tcBorders>
            <w:shd w:val="clear" w:color="000000" w:fill="F2F2F2"/>
            <w:vAlign w:val="center"/>
            <w:hideMark/>
          </w:tcPr>
          <w:p w14:paraId="3922934A"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68,429,979,116.4</w:t>
            </w:r>
          </w:p>
        </w:tc>
        <w:tc>
          <w:tcPr>
            <w:tcW w:w="2117" w:type="dxa"/>
            <w:tcBorders>
              <w:top w:val="nil"/>
              <w:left w:val="nil"/>
              <w:bottom w:val="nil"/>
              <w:right w:val="nil"/>
            </w:tcBorders>
            <w:shd w:val="clear" w:color="000000" w:fill="F2F2F2"/>
            <w:vAlign w:val="center"/>
            <w:hideMark/>
          </w:tcPr>
          <w:p w14:paraId="7E793F97"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66,540,743,892.9</w:t>
            </w:r>
          </w:p>
        </w:tc>
      </w:tr>
      <w:tr w:rsidR="006D2C12" w:rsidRPr="006D2C12" w14:paraId="183BDF7A" w14:textId="77777777" w:rsidTr="006D2C12">
        <w:trPr>
          <w:trHeight w:val="240"/>
          <w:jc w:val="center"/>
        </w:trPr>
        <w:tc>
          <w:tcPr>
            <w:tcW w:w="5959" w:type="dxa"/>
            <w:tcBorders>
              <w:top w:val="nil"/>
              <w:left w:val="nil"/>
              <w:bottom w:val="nil"/>
              <w:right w:val="nil"/>
            </w:tcBorders>
            <w:shd w:val="clear" w:color="000000" w:fill="F2F2F2"/>
            <w:vAlign w:val="center"/>
            <w:hideMark/>
          </w:tcPr>
          <w:p w14:paraId="1453D156" w14:textId="77777777" w:rsidR="006D2C12" w:rsidRPr="006D2C12" w:rsidRDefault="006D2C12" w:rsidP="006D2C12">
            <w:pPr>
              <w:spacing w:after="0" w:line="240" w:lineRule="auto"/>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Multas</w:t>
            </w:r>
          </w:p>
        </w:tc>
        <w:tc>
          <w:tcPr>
            <w:tcW w:w="2140" w:type="dxa"/>
            <w:tcBorders>
              <w:top w:val="nil"/>
              <w:left w:val="nil"/>
              <w:bottom w:val="nil"/>
              <w:right w:val="nil"/>
            </w:tcBorders>
            <w:shd w:val="clear" w:color="000000" w:fill="F2F2F2"/>
            <w:vAlign w:val="center"/>
            <w:hideMark/>
          </w:tcPr>
          <w:p w14:paraId="6E9298EC"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20,922,300,876.1</w:t>
            </w:r>
          </w:p>
        </w:tc>
        <w:tc>
          <w:tcPr>
            <w:tcW w:w="2117" w:type="dxa"/>
            <w:tcBorders>
              <w:top w:val="nil"/>
              <w:left w:val="nil"/>
              <w:bottom w:val="nil"/>
              <w:right w:val="nil"/>
            </w:tcBorders>
            <w:shd w:val="clear" w:color="000000" w:fill="F2F2F2"/>
            <w:vAlign w:val="center"/>
            <w:hideMark/>
          </w:tcPr>
          <w:p w14:paraId="090176EC"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20,749,890,420.5</w:t>
            </w:r>
          </w:p>
        </w:tc>
      </w:tr>
      <w:tr w:rsidR="006D2C12" w:rsidRPr="006D2C12" w14:paraId="2850A84C" w14:textId="77777777" w:rsidTr="006D2C12">
        <w:trPr>
          <w:trHeight w:val="240"/>
          <w:jc w:val="center"/>
        </w:trPr>
        <w:tc>
          <w:tcPr>
            <w:tcW w:w="5959" w:type="dxa"/>
            <w:tcBorders>
              <w:top w:val="nil"/>
              <w:left w:val="nil"/>
              <w:bottom w:val="nil"/>
              <w:right w:val="nil"/>
            </w:tcBorders>
            <w:shd w:val="clear" w:color="000000" w:fill="F2F2F2"/>
            <w:vAlign w:val="center"/>
            <w:hideMark/>
          </w:tcPr>
          <w:p w14:paraId="4BF91772" w14:textId="77777777" w:rsidR="006D2C12" w:rsidRPr="006D2C12" w:rsidRDefault="006D2C12" w:rsidP="006D2C12">
            <w:pPr>
              <w:spacing w:after="0" w:line="240" w:lineRule="auto"/>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Subtotal Cuotas Obrero-Patronales</w:t>
            </w:r>
          </w:p>
        </w:tc>
        <w:tc>
          <w:tcPr>
            <w:tcW w:w="2140" w:type="dxa"/>
            <w:tcBorders>
              <w:top w:val="nil"/>
              <w:left w:val="nil"/>
              <w:bottom w:val="nil"/>
              <w:right w:val="nil"/>
            </w:tcBorders>
            <w:shd w:val="clear" w:color="000000" w:fill="F2F2F2"/>
            <w:vAlign w:val="center"/>
            <w:hideMark/>
          </w:tcPr>
          <w:p w14:paraId="2E055F3C" w14:textId="77777777" w:rsidR="006D2C12" w:rsidRPr="006D2C12" w:rsidRDefault="006D2C12" w:rsidP="006D2C12">
            <w:pPr>
              <w:spacing w:after="0" w:line="240" w:lineRule="auto"/>
              <w:jc w:val="right"/>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89,352,279,992.5</w:t>
            </w:r>
          </w:p>
        </w:tc>
        <w:tc>
          <w:tcPr>
            <w:tcW w:w="2117" w:type="dxa"/>
            <w:tcBorders>
              <w:top w:val="nil"/>
              <w:left w:val="nil"/>
              <w:bottom w:val="nil"/>
              <w:right w:val="nil"/>
            </w:tcBorders>
            <w:shd w:val="clear" w:color="000000" w:fill="F2F2F2"/>
            <w:vAlign w:val="center"/>
            <w:hideMark/>
          </w:tcPr>
          <w:p w14:paraId="1F234D14" w14:textId="77777777" w:rsidR="006D2C12" w:rsidRPr="006D2C12" w:rsidRDefault="006D2C12" w:rsidP="006D2C12">
            <w:pPr>
              <w:spacing w:after="0" w:line="240" w:lineRule="auto"/>
              <w:jc w:val="right"/>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87,290,634,313.4</w:t>
            </w:r>
          </w:p>
        </w:tc>
      </w:tr>
      <w:tr w:rsidR="006D2C12" w:rsidRPr="006D2C12" w14:paraId="752343D7" w14:textId="77777777" w:rsidTr="006D2C12">
        <w:trPr>
          <w:trHeight w:val="240"/>
          <w:jc w:val="center"/>
        </w:trPr>
        <w:tc>
          <w:tcPr>
            <w:tcW w:w="5959" w:type="dxa"/>
            <w:tcBorders>
              <w:top w:val="nil"/>
              <w:left w:val="nil"/>
              <w:bottom w:val="nil"/>
              <w:right w:val="nil"/>
            </w:tcBorders>
            <w:shd w:val="clear" w:color="000000" w:fill="F2F2F2"/>
            <w:vAlign w:val="center"/>
            <w:hideMark/>
          </w:tcPr>
          <w:p w14:paraId="39552FA5" w14:textId="77777777" w:rsidR="006D2C12" w:rsidRPr="006D2C12" w:rsidRDefault="006D2C12" w:rsidP="006D2C12">
            <w:pPr>
              <w:spacing w:after="0" w:line="240" w:lineRule="auto"/>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 xml:space="preserve">Cuotas del Gobierno Federal </w:t>
            </w:r>
          </w:p>
        </w:tc>
        <w:tc>
          <w:tcPr>
            <w:tcW w:w="2140" w:type="dxa"/>
            <w:tcBorders>
              <w:top w:val="nil"/>
              <w:left w:val="nil"/>
              <w:bottom w:val="nil"/>
              <w:right w:val="nil"/>
            </w:tcBorders>
            <w:shd w:val="clear" w:color="000000" w:fill="F2F2F2"/>
            <w:vAlign w:val="center"/>
            <w:hideMark/>
          </w:tcPr>
          <w:p w14:paraId="1411A416"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3,943,947,736.9</w:t>
            </w:r>
          </w:p>
        </w:tc>
        <w:tc>
          <w:tcPr>
            <w:tcW w:w="2117" w:type="dxa"/>
            <w:tcBorders>
              <w:top w:val="nil"/>
              <w:left w:val="nil"/>
              <w:bottom w:val="nil"/>
              <w:right w:val="nil"/>
            </w:tcBorders>
            <w:shd w:val="clear" w:color="000000" w:fill="F2F2F2"/>
            <w:vAlign w:val="center"/>
            <w:hideMark/>
          </w:tcPr>
          <w:p w14:paraId="03D09CFD" w14:textId="77777777" w:rsidR="006D2C12" w:rsidRPr="006D2C12" w:rsidRDefault="006D2C12" w:rsidP="006D2C12">
            <w:pPr>
              <w:spacing w:after="0" w:line="240" w:lineRule="auto"/>
              <w:jc w:val="right"/>
              <w:rPr>
                <w:rFonts w:ascii="Montserrat" w:eastAsia="Times New Roman" w:hAnsi="Montserrat"/>
                <w:color w:val="000000"/>
                <w:sz w:val="15"/>
                <w:szCs w:val="15"/>
                <w:lang w:val="es-MX" w:eastAsia="es-MX"/>
              </w:rPr>
            </w:pPr>
            <w:r w:rsidRPr="006D2C12">
              <w:rPr>
                <w:rFonts w:ascii="Montserrat" w:eastAsia="Times New Roman" w:hAnsi="Montserrat"/>
                <w:color w:val="000000"/>
                <w:sz w:val="15"/>
                <w:szCs w:val="15"/>
                <w:lang w:val="es-MX" w:eastAsia="es-MX"/>
              </w:rPr>
              <w:t>0.0</w:t>
            </w:r>
          </w:p>
        </w:tc>
      </w:tr>
      <w:tr w:rsidR="006D2C12" w:rsidRPr="006D2C12" w14:paraId="300BCC38" w14:textId="77777777" w:rsidTr="006D2C12">
        <w:trPr>
          <w:trHeight w:val="252"/>
          <w:jc w:val="center"/>
        </w:trPr>
        <w:tc>
          <w:tcPr>
            <w:tcW w:w="5959" w:type="dxa"/>
            <w:tcBorders>
              <w:top w:val="nil"/>
              <w:left w:val="nil"/>
              <w:bottom w:val="single" w:sz="12" w:space="0" w:color="808080"/>
              <w:right w:val="nil"/>
            </w:tcBorders>
            <w:shd w:val="clear" w:color="000000" w:fill="F2F2F2"/>
            <w:vAlign w:val="center"/>
            <w:hideMark/>
          </w:tcPr>
          <w:p w14:paraId="64EE7634" w14:textId="77777777" w:rsidR="006D2C12" w:rsidRPr="006D2C12" w:rsidRDefault="006D2C12" w:rsidP="006D2C12">
            <w:pPr>
              <w:spacing w:after="0" w:line="240" w:lineRule="auto"/>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Total Ingresos por Recuperar por Cuotas Obrero-Patronales</w:t>
            </w:r>
          </w:p>
        </w:tc>
        <w:tc>
          <w:tcPr>
            <w:tcW w:w="2140" w:type="dxa"/>
            <w:tcBorders>
              <w:top w:val="nil"/>
              <w:left w:val="nil"/>
              <w:bottom w:val="single" w:sz="12" w:space="0" w:color="808080"/>
              <w:right w:val="nil"/>
            </w:tcBorders>
            <w:shd w:val="clear" w:color="000000" w:fill="F2F2F2"/>
            <w:vAlign w:val="center"/>
            <w:hideMark/>
          </w:tcPr>
          <w:p w14:paraId="2B39A6B2" w14:textId="77777777" w:rsidR="006D2C12" w:rsidRPr="006D2C12" w:rsidRDefault="006D2C12" w:rsidP="006D2C12">
            <w:pPr>
              <w:spacing w:after="0" w:line="240" w:lineRule="auto"/>
              <w:jc w:val="right"/>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93,296,227,729.4</w:t>
            </w:r>
          </w:p>
        </w:tc>
        <w:tc>
          <w:tcPr>
            <w:tcW w:w="2117" w:type="dxa"/>
            <w:tcBorders>
              <w:top w:val="nil"/>
              <w:left w:val="nil"/>
              <w:bottom w:val="single" w:sz="12" w:space="0" w:color="808080"/>
              <w:right w:val="nil"/>
            </w:tcBorders>
            <w:shd w:val="clear" w:color="000000" w:fill="F2F2F2"/>
            <w:vAlign w:val="center"/>
            <w:hideMark/>
          </w:tcPr>
          <w:p w14:paraId="5DBCD387" w14:textId="77777777" w:rsidR="006D2C12" w:rsidRPr="006D2C12" w:rsidRDefault="006D2C12" w:rsidP="006D2C12">
            <w:pPr>
              <w:spacing w:after="0" w:line="240" w:lineRule="auto"/>
              <w:jc w:val="right"/>
              <w:rPr>
                <w:rFonts w:ascii="Montserrat" w:eastAsia="Times New Roman" w:hAnsi="Montserrat"/>
                <w:b/>
                <w:bCs/>
                <w:color w:val="000000"/>
                <w:sz w:val="15"/>
                <w:szCs w:val="15"/>
                <w:lang w:val="es-MX" w:eastAsia="es-MX"/>
              </w:rPr>
            </w:pPr>
            <w:r w:rsidRPr="006D2C12">
              <w:rPr>
                <w:rFonts w:ascii="Montserrat" w:eastAsia="Times New Roman" w:hAnsi="Montserrat"/>
                <w:b/>
                <w:bCs/>
                <w:color w:val="000000"/>
                <w:sz w:val="15"/>
                <w:szCs w:val="15"/>
                <w:lang w:val="es-MX" w:eastAsia="es-MX"/>
              </w:rPr>
              <w:t>87,290,634,313.4</w:t>
            </w:r>
          </w:p>
        </w:tc>
      </w:tr>
    </w:tbl>
    <w:p w14:paraId="4FA64294" w14:textId="77777777" w:rsidR="006D2C12" w:rsidRDefault="006D2C12" w:rsidP="00E829CD">
      <w:pPr>
        <w:pStyle w:val="TEXTONORMAL"/>
        <w:ind w:left="357"/>
        <w:rPr>
          <w:lang w:val="es-MX"/>
        </w:rPr>
      </w:pPr>
    </w:p>
    <w:p w14:paraId="3855177C" w14:textId="77777777" w:rsidR="006D2C12" w:rsidRDefault="006D2C12" w:rsidP="00E829CD">
      <w:pPr>
        <w:pStyle w:val="TEXTONORMAL"/>
        <w:ind w:left="357"/>
        <w:rPr>
          <w:lang w:val="es-MX"/>
        </w:rPr>
      </w:pPr>
    </w:p>
    <w:p w14:paraId="3372C338" w14:textId="77777777" w:rsidR="00E829CD" w:rsidRDefault="00E829CD" w:rsidP="00E829CD">
      <w:pPr>
        <w:pStyle w:val="TEXTONORMAL"/>
        <w:rPr>
          <w:lang w:val="es-MX"/>
        </w:rPr>
      </w:pPr>
    </w:p>
    <w:p w14:paraId="54B806A5" w14:textId="77777777" w:rsidR="009D5C48" w:rsidRDefault="009D5C48" w:rsidP="009F61CA">
      <w:pPr>
        <w:pStyle w:val="TEXTONORMAL"/>
        <w:rPr>
          <w:lang w:val="es-MX"/>
        </w:rPr>
      </w:pPr>
    </w:p>
    <w:p w14:paraId="32E3D6D6" w14:textId="77777777" w:rsidR="009D5C48" w:rsidRDefault="009D5C48" w:rsidP="003F2A12">
      <w:pPr>
        <w:pStyle w:val="TEXTONORMAL"/>
        <w:numPr>
          <w:ilvl w:val="0"/>
          <w:numId w:val="12"/>
        </w:numPr>
        <w:ind w:left="714" w:hanging="357"/>
        <w:rPr>
          <w:lang w:val="es-MX"/>
        </w:rPr>
      </w:pPr>
      <w:r w:rsidRPr="00D101AA">
        <w:rPr>
          <w:b/>
          <w:lang w:val="es-MX"/>
        </w:rPr>
        <w:lastRenderedPageBreak/>
        <w:t>1.2.b)</w:t>
      </w:r>
      <w:r w:rsidRPr="00D101AA">
        <w:rPr>
          <w:lang w:val="es-MX"/>
        </w:rPr>
        <w:t xml:space="preserve"> </w:t>
      </w:r>
      <w:r w:rsidR="00655702">
        <w:t>Al 30 de septiembre</w:t>
      </w:r>
      <w:r w:rsidR="00F036B7">
        <w:t xml:space="preserve"> de 2022</w:t>
      </w:r>
      <w:r w:rsidR="00F036B7" w:rsidRPr="000B2CE4">
        <w:t xml:space="preserve"> y</w:t>
      </w:r>
      <w:r w:rsidR="00A34013">
        <w:t xml:space="preserve"> al</w:t>
      </w:r>
      <w:r w:rsidR="00F036B7" w:rsidRPr="000B2CE4">
        <w:t xml:space="preserve"> </w:t>
      </w:r>
      <w:r w:rsidR="00F036B7">
        <w:t>31 de diciembre de 2021</w:t>
      </w:r>
      <w:r w:rsidRPr="00D101AA">
        <w:rPr>
          <w:lang w:val="es-MX"/>
        </w:rPr>
        <w:t>, el rubro de Deud</w:t>
      </w:r>
      <w:r>
        <w:rPr>
          <w:lang w:val="es-MX"/>
        </w:rPr>
        <w:t>ores Diversos se integra como sigue</w:t>
      </w:r>
      <w:r w:rsidRPr="00D101AA">
        <w:rPr>
          <w:lang w:val="es-MX"/>
        </w:rPr>
        <w:t>:</w:t>
      </w:r>
    </w:p>
    <w:p w14:paraId="69B5A2FC" w14:textId="77777777" w:rsidR="009D5C48" w:rsidRDefault="009D5C48" w:rsidP="009D5C48">
      <w:pPr>
        <w:pStyle w:val="TEXTONORMAL"/>
        <w:rPr>
          <w:lang w:val="es-MX"/>
        </w:rPr>
      </w:pPr>
    </w:p>
    <w:tbl>
      <w:tblPr>
        <w:tblW w:w="10110" w:type="dxa"/>
        <w:jc w:val="center"/>
        <w:tblCellMar>
          <w:left w:w="70" w:type="dxa"/>
          <w:right w:w="70" w:type="dxa"/>
        </w:tblCellMar>
        <w:tblLook w:val="04A0" w:firstRow="1" w:lastRow="0" w:firstColumn="1" w:lastColumn="0" w:noHBand="0" w:noVBand="1"/>
      </w:tblPr>
      <w:tblGrid>
        <w:gridCol w:w="5897"/>
        <w:gridCol w:w="2118"/>
        <w:gridCol w:w="2095"/>
      </w:tblGrid>
      <w:tr w:rsidR="00655702" w:rsidRPr="00655702" w14:paraId="72C961BD" w14:textId="77777777" w:rsidTr="00655702">
        <w:trPr>
          <w:trHeight w:val="272"/>
          <w:jc w:val="center"/>
        </w:trPr>
        <w:tc>
          <w:tcPr>
            <w:tcW w:w="589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83A962E" w14:textId="77777777" w:rsidR="00655702" w:rsidRPr="00655702" w:rsidRDefault="00655702" w:rsidP="00655702">
            <w:pPr>
              <w:spacing w:after="0" w:line="240" w:lineRule="auto"/>
              <w:jc w:val="center"/>
              <w:rPr>
                <w:rFonts w:ascii="Montserrat" w:eastAsia="Times New Roman" w:hAnsi="Montserrat"/>
                <w:b/>
                <w:bCs/>
                <w:color w:val="FFFFFF"/>
                <w:sz w:val="16"/>
                <w:szCs w:val="16"/>
                <w:lang w:val="es-MX" w:eastAsia="es-MX"/>
              </w:rPr>
            </w:pPr>
            <w:r w:rsidRPr="00655702">
              <w:rPr>
                <w:rFonts w:ascii="Montserrat" w:eastAsia="Times New Roman" w:hAnsi="Montserrat"/>
                <w:b/>
                <w:bCs/>
                <w:color w:val="FFFFFF"/>
                <w:sz w:val="16"/>
                <w:szCs w:val="16"/>
                <w:lang w:val="es-MX" w:eastAsia="es-MX"/>
              </w:rPr>
              <w:t>Concepto</w:t>
            </w:r>
          </w:p>
        </w:tc>
        <w:tc>
          <w:tcPr>
            <w:tcW w:w="421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AA04D7B" w14:textId="77777777" w:rsidR="00655702" w:rsidRPr="00655702" w:rsidRDefault="00655702" w:rsidP="00655702">
            <w:pPr>
              <w:spacing w:after="0" w:line="240" w:lineRule="auto"/>
              <w:jc w:val="center"/>
              <w:rPr>
                <w:rFonts w:ascii="Montserrat" w:eastAsia="Times New Roman" w:hAnsi="Montserrat"/>
                <w:b/>
                <w:bCs/>
                <w:color w:val="FFFFFF"/>
                <w:sz w:val="16"/>
                <w:szCs w:val="16"/>
                <w:lang w:val="es-MX" w:eastAsia="es-MX"/>
              </w:rPr>
            </w:pPr>
            <w:r w:rsidRPr="00655702">
              <w:rPr>
                <w:rFonts w:ascii="Montserrat" w:eastAsia="Times New Roman" w:hAnsi="Montserrat"/>
                <w:b/>
                <w:bCs/>
                <w:color w:val="FFFFFF"/>
                <w:sz w:val="16"/>
                <w:szCs w:val="16"/>
                <w:lang w:val="es-MX" w:eastAsia="es-MX"/>
              </w:rPr>
              <w:t>Cifras en pesos</w:t>
            </w:r>
          </w:p>
        </w:tc>
      </w:tr>
      <w:tr w:rsidR="00655702" w:rsidRPr="00655702" w14:paraId="677C31DB" w14:textId="77777777" w:rsidTr="00655702">
        <w:trPr>
          <w:trHeight w:val="272"/>
          <w:jc w:val="center"/>
        </w:trPr>
        <w:tc>
          <w:tcPr>
            <w:tcW w:w="5897" w:type="dxa"/>
            <w:vMerge/>
            <w:tcBorders>
              <w:top w:val="single" w:sz="12" w:space="0" w:color="808080"/>
              <w:left w:val="nil"/>
              <w:bottom w:val="double" w:sz="6" w:space="0" w:color="808080"/>
              <w:right w:val="single" w:sz="12" w:space="0" w:color="FFFFFF"/>
            </w:tcBorders>
            <w:vAlign w:val="center"/>
            <w:hideMark/>
          </w:tcPr>
          <w:p w14:paraId="32B78BD1" w14:textId="77777777" w:rsidR="00655702" w:rsidRPr="00655702" w:rsidRDefault="00655702" w:rsidP="00655702">
            <w:pPr>
              <w:spacing w:after="0" w:line="240" w:lineRule="auto"/>
              <w:rPr>
                <w:rFonts w:ascii="Montserrat" w:eastAsia="Times New Roman" w:hAnsi="Montserrat"/>
                <w:b/>
                <w:bCs/>
                <w:color w:val="FFFFFF"/>
                <w:sz w:val="16"/>
                <w:szCs w:val="16"/>
                <w:lang w:val="es-MX" w:eastAsia="es-MX"/>
              </w:rPr>
            </w:pPr>
          </w:p>
        </w:tc>
        <w:tc>
          <w:tcPr>
            <w:tcW w:w="2118" w:type="dxa"/>
            <w:tcBorders>
              <w:top w:val="nil"/>
              <w:left w:val="nil"/>
              <w:bottom w:val="double" w:sz="6" w:space="0" w:color="808080"/>
              <w:right w:val="single" w:sz="12" w:space="0" w:color="FFFFFF"/>
            </w:tcBorders>
            <w:shd w:val="clear" w:color="000000" w:fill="D4C19C"/>
            <w:vAlign w:val="center"/>
            <w:hideMark/>
          </w:tcPr>
          <w:p w14:paraId="467BAA04" w14:textId="77777777" w:rsidR="00655702" w:rsidRPr="00655702" w:rsidRDefault="00655702" w:rsidP="00655702">
            <w:pPr>
              <w:spacing w:after="0" w:line="240" w:lineRule="auto"/>
              <w:jc w:val="center"/>
              <w:rPr>
                <w:rFonts w:ascii="Montserrat" w:eastAsia="Times New Roman" w:hAnsi="Montserrat"/>
                <w:b/>
                <w:bCs/>
                <w:color w:val="FFFFFF"/>
                <w:sz w:val="16"/>
                <w:szCs w:val="16"/>
                <w:lang w:val="es-MX" w:eastAsia="es-MX"/>
              </w:rPr>
            </w:pPr>
            <w:r w:rsidRPr="00655702">
              <w:rPr>
                <w:rFonts w:ascii="Montserrat" w:eastAsia="Times New Roman" w:hAnsi="Montserrat"/>
                <w:b/>
                <w:bCs/>
                <w:color w:val="FFFFFF"/>
                <w:sz w:val="16"/>
                <w:szCs w:val="16"/>
                <w:lang w:val="es-MX" w:eastAsia="es-MX"/>
              </w:rPr>
              <w:t>2022</w:t>
            </w:r>
          </w:p>
        </w:tc>
        <w:tc>
          <w:tcPr>
            <w:tcW w:w="2095" w:type="dxa"/>
            <w:tcBorders>
              <w:top w:val="nil"/>
              <w:left w:val="nil"/>
              <w:bottom w:val="double" w:sz="6" w:space="0" w:color="808080"/>
              <w:right w:val="single" w:sz="12" w:space="0" w:color="FFFFFF"/>
            </w:tcBorders>
            <w:shd w:val="clear" w:color="000000" w:fill="D4C19C"/>
            <w:vAlign w:val="center"/>
            <w:hideMark/>
          </w:tcPr>
          <w:p w14:paraId="1136342C" w14:textId="77777777" w:rsidR="00655702" w:rsidRPr="00655702" w:rsidRDefault="00655702" w:rsidP="00655702">
            <w:pPr>
              <w:spacing w:after="0" w:line="240" w:lineRule="auto"/>
              <w:jc w:val="center"/>
              <w:rPr>
                <w:rFonts w:ascii="Montserrat" w:eastAsia="Times New Roman" w:hAnsi="Montserrat"/>
                <w:b/>
                <w:bCs/>
                <w:color w:val="FFFFFF"/>
                <w:sz w:val="16"/>
                <w:szCs w:val="16"/>
                <w:lang w:val="es-MX" w:eastAsia="es-MX"/>
              </w:rPr>
            </w:pPr>
            <w:r w:rsidRPr="00655702">
              <w:rPr>
                <w:rFonts w:ascii="Montserrat" w:eastAsia="Times New Roman" w:hAnsi="Montserrat"/>
                <w:b/>
                <w:bCs/>
                <w:color w:val="FFFFFF"/>
                <w:sz w:val="16"/>
                <w:szCs w:val="16"/>
                <w:lang w:val="es-MX" w:eastAsia="es-MX"/>
              </w:rPr>
              <w:t>2021</w:t>
            </w:r>
          </w:p>
        </w:tc>
      </w:tr>
      <w:tr w:rsidR="00655702" w:rsidRPr="00655702" w14:paraId="21AA73D8" w14:textId="77777777" w:rsidTr="00655702">
        <w:trPr>
          <w:trHeight w:val="260"/>
          <w:jc w:val="center"/>
        </w:trPr>
        <w:tc>
          <w:tcPr>
            <w:tcW w:w="5897" w:type="dxa"/>
            <w:tcBorders>
              <w:top w:val="nil"/>
              <w:left w:val="nil"/>
              <w:bottom w:val="nil"/>
              <w:right w:val="nil"/>
            </w:tcBorders>
            <w:shd w:val="clear" w:color="000000" w:fill="F2F2F2"/>
            <w:vAlign w:val="center"/>
            <w:hideMark/>
          </w:tcPr>
          <w:p w14:paraId="22918F67"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 xml:space="preserve">Deudores de Personal </w:t>
            </w:r>
            <w:r w:rsidRPr="00655702">
              <w:rPr>
                <w:rFonts w:ascii="Montserrat" w:eastAsia="Times New Roman" w:hAnsi="Montserrat"/>
                <w:b/>
                <w:bCs/>
                <w:color w:val="000000"/>
                <w:sz w:val="15"/>
                <w:szCs w:val="15"/>
                <w:lang w:val="es-MX" w:eastAsia="es-MX"/>
              </w:rPr>
              <w:t>(1.2.b.1)</w:t>
            </w:r>
            <w:r w:rsidRPr="00655702">
              <w:rPr>
                <w:rFonts w:ascii="Montserrat" w:eastAsia="Times New Roman" w:hAnsi="Montserrat"/>
                <w:color w:val="000000"/>
                <w:sz w:val="15"/>
                <w:szCs w:val="15"/>
                <w:lang w:val="es-MX" w:eastAsia="es-MX"/>
              </w:rPr>
              <w:t xml:space="preserve"> </w:t>
            </w:r>
          </w:p>
        </w:tc>
        <w:tc>
          <w:tcPr>
            <w:tcW w:w="2118" w:type="dxa"/>
            <w:tcBorders>
              <w:top w:val="nil"/>
              <w:left w:val="nil"/>
              <w:bottom w:val="nil"/>
              <w:right w:val="nil"/>
            </w:tcBorders>
            <w:shd w:val="clear" w:color="000000" w:fill="F2F2F2"/>
            <w:vAlign w:val="center"/>
            <w:hideMark/>
          </w:tcPr>
          <w:p w14:paraId="45372B06"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2,117,214,254.3</w:t>
            </w:r>
          </w:p>
        </w:tc>
        <w:tc>
          <w:tcPr>
            <w:tcW w:w="2095" w:type="dxa"/>
            <w:tcBorders>
              <w:top w:val="nil"/>
              <w:left w:val="nil"/>
              <w:bottom w:val="nil"/>
              <w:right w:val="nil"/>
            </w:tcBorders>
            <w:shd w:val="clear" w:color="000000" w:fill="F2F2F2"/>
            <w:vAlign w:val="center"/>
            <w:hideMark/>
          </w:tcPr>
          <w:p w14:paraId="707A5F64"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2,251,416,419.6</w:t>
            </w:r>
          </w:p>
        </w:tc>
      </w:tr>
      <w:tr w:rsidR="00655702" w:rsidRPr="00655702" w14:paraId="241F375F" w14:textId="77777777" w:rsidTr="00655702">
        <w:trPr>
          <w:trHeight w:val="247"/>
          <w:jc w:val="center"/>
        </w:trPr>
        <w:tc>
          <w:tcPr>
            <w:tcW w:w="5897" w:type="dxa"/>
            <w:tcBorders>
              <w:top w:val="nil"/>
              <w:left w:val="nil"/>
              <w:bottom w:val="nil"/>
              <w:right w:val="nil"/>
            </w:tcBorders>
            <w:shd w:val="clear" w:color="000000" w:fill="F2F2F2"/>
            <w:vAlign w:val="center"/>
            <w:hideMark/>
          </w:tcPr>
          <w:p w14:paraId="232AEA54"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Deudores por Otros Ingresos</w:t>
            </w:r>
          </w:p>
        </w:tc>
        <w:tc>
          <w:tcPr>
            <w:tcW w:w="2118" w:type="dxa"/>
            <w:tcBorders>
              <w:top w:val="nil"/>
              <w:left w:val="nil"/>
              <w:bottom w:val="nil"/>
              <w:right w:val="nil"/>
            </w:tcBorders>
            <w:shd w:val="clear" w:color="000000" w:fill="F2F2F2"/>
            <w:vAlign w:val="center"/>
            <w:hideMark/>
          </w:tcPr>
          <w:p w14:paraId="406C6F95"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2,236,898,900.8</w:t>
            </w:r>
          </w:p>
        </w:tc>
        <w:tc>
          <w:tcPr>
            <w:tcW w:w="2095" w:type="dxa"/>
            <w:tcBorders>
              <w:top w:val="nil"/>
              <w:left w:val="nil"/>
              <w:bottom w:val="nil"/>
              <w:right w:val="nil"/>
            </w:tcBorders>
            <w:shd w:val="clear" w:color="000000" w:fill="F2F2F2"/>
            <w:vAlign w:val="center"/>
            <w:hideMark/>
          </w:tcPr>
          <w:p w14:paraId="1B018385"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2,052,066,946.1</w:t>
            </w:r>
          </w:p>
        </w:tc>
      </w:tr>
      <w:tr w:rsidR="00655702" w:rsidRPr="00655702" w14:paraId="369B5D6B" w14:textId="77777777" w:rsidTr="00655702">
        <w:trPr>
          <w:trHeight w:val="247"/>
          <w:jc w:val="center"/>
        </w:trPr>
        <w:tc>
          <w:tcPr>
            <w:tcW w:w="5897" w:type="dxa"/>
            <w:tcBorders>
              <w:top w:val="nil"/>
              <w:left w:val="nil"/>
              <w:bottom w:val="nil"/>
              <w:right w:val="nil"/>
            </w:tcBorders>
            <w:shd w:val="clear" w:color="000000" w:fill="F2F2F2"/>
            <w:vAlign w:val="center"/>
            <w:hideMark/>
          </w:tcPr>
          <w:p w14:paraId="5C9BF7E0"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Deudores Nómina RJP</w:t>
            </w:r>
          </w:p>
        </w:tc>
        <w:tc>
          <w:tcPr>
            <w:tcW w:w="2118" w:type="dxa"/>
            <w:tcBorders>
              <w:top w:val="nil"/>
              <w:left w:val="nil"/>
              <w:bottom w:val="nil"/>
              <w:right w:val="nil"/>
            </w:tcBorders>
            <w:shd w:val="clear" w:color="000000" w:fill="F2F2F2"/>
            <w:vAlign w:val="center"/>
            <w:hideMark/>
          </w:tcPr>
          <w:p w14:paraId="66812756"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1,126,094,557.3</w:t>
            </w:r>
          </w:p>
        </w:tc>
        <w:tc>
          <w:tcPr>
            <w:tcW w:w="2095" w:type="dxa"/>
            <w:tcBorders>
              <w:top w:val="nil"/>
              <w:left w:val="nil"/>
              <w:bottom w:val="nil"/>
              <w:right w:val="nil"/>
            </w:tcBorders>
            <w:shd w:val="clear" w:color="000000" w:fill="F2F2F2"/>
            <w:vAlign w:val="center"/>
            <w:hideMark/>
          </w:tcPr>
          <w:p w14:paraId="03CEFBB7"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1,478,039,092.8</w:t>
            </w:r>
          </w:p>
        </w:tc>
      </w:tr>
      <w:tr w:rsidR="00655702" w:rsidRPr="00655702" w14:paraId="0246C170" w14:textId="77777777" w:rsidTr="00655702">
        <w:trPr>
          <w:trHeight w:val="247"/>
          <w:jc w:val="center"/>
        </w:trPr>
        <w:tc>
          <w:tcPr>
            <w:tcW w:w="5897" w:type="dxa"/>
            <w:tcBorders>
              <w:top w:val="nil"/>
              <w:left w:val="nil"/>
              <w:bottom w:val="nil"/>
              <w:right w:val="nil"/>
            </w:tcBorders>
            <w:shd w:val="clear" w:color="000000" w:fill="F2F2F2"/>
            <w:vAlign w:val="center"/>
            <w:hideMark/>
          </w:tcPr>
          <w:p w14:paraId="015BA5B8"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RJP IMSS-Bienestar</w:t>
            </w:r>
          </w:p>
        </w:tc>
        <w:tc>
          <w:tcPr>
            <w:tcW w:w="2118" w:type="dxa"/>
            <w:tcBorders>
              <w:top w:val="nil"/>
              <w:left w:val="nil"/>
              <w:bottom w:val="nil"/>
              <w:right w:val="nil"/>
            </w:tcBorders>
            <w:shd w:val="clear" w:color="000000" w:fill="F2F2F2"/>
            <w:vAlign w:val="center"/>
            <w:hideMark/>
          </w:tcPr>
          <w:p w14:paraId="33F14123"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2,006,971,044.6</w:t>
            </w:r>
          </w:p>
        </w:tc>
        <w:tc>
          <w:tcPr>
            <w:tcW w:w="2095" w:type="dxa"/>
            <w:tcBorders>
              <w:top w:val="nil"/>
              <w:left w:val="nil"/>
              <w:bottom w:val="nil"/>
              <w:right w:val="nil"/>
            </w:tcBorders>
            <w:shd w:val="clear" w:color="000000" w:fill="F2F2F2"/>
            <w:vAlign w:val="center"/>
            <w:hideMark/>
          </w:tcPr>
          <w:p w14:paraId="495CA585"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1,943,678,524.7</w:t>
            </w:r>
          </w:p>
        </w:tc>
      </w:tr>
      <w:tr w:rsidR="00655702" w:rsidRPr="00655702" w14:paraId="07C9D6D4" w14:textId="77777777" w:rsidTr="00655702">
        <w:trPr>
          <w:trHeight w:val="247"/>
          <w:jc w:val="center"/>
        </w:trPr>
        <w:tc>
          <w:tcPr>
            <w:tcW w:w="5897" w:type="dxa"/>
            <w:tcBorders>
              <w:top w:val="nil"/>
              <w:left w:val="nil"/>
              <w:bottom w:val="nil"/>
              <w:right w:val="nil"/>
            </w:tcBorders>
            <w:shd w:val="clear" w:color="000000" w:fill="F2F2F2"/>
            <w:vAlign w:val="center"/>
            <w:hideMark/>
          </w:tcPr>
          <w:p w14:paraId="6F77A6DF"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 xml:space="preserve">Deudores por Bienes de Consumo </w:t>
            </w:r>
          </w:p>
        </w:tc>
        <w:tc>
          <w:tcPr>
            <w:tcW w:w="2118" w:type="dxa"/>
            <w:tcBorders>
              <w:top w:val="nil"/>
              <w:left w:val="nil"/>
              <w:bottom w:val="nil"/>
              <w:right w:val="nil"/>
            </w:tcBorders>
            <w:shd w:val="clear" w:color="000000" w:fill="F2F2F2"/>
            <w:vAlign w:val="center"/>
            <w:hideMark/>
          </w:tcPr>
          <w:p w14:paraId="5C49BA44"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222,829,973.4</w:t>
            </w:r>
          </w:p>
        </w:tc>
        <w:tc>
          <w:tcPr>
            <w:tcW w:w="2095" w:type="dxa"/>
            <w:tcBorders>
              <w:top w:val="nil"/>
              <w:left w:val="nil"/>
              <w:bottom w:val="nil"/>
              <w:right w:val="nil"/>
            </w:tcBorders>
            <w:shd w:val="clear" w:color="000000" w:fill="F2F2F2"/>
            <w:vAlign w:val="center"/>
            <w:hideMark/>
          </w:tcPr>
          <w:p w14:paraId="137B99D9"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222,348,887.3</w:t>
            </w:r>
          </w:p>
        </w:tc>
      </w:tr>
      <w:tr w:rsidR="00655702" w:rsidRPr="00655702" w14:paraId="30DA8D0F" w14:textId="77777777" w:rsidTr="00655702">
        <w:trPr>
          <w:trHeight w:val="247"/>
          <w:jc w:val="center"/>
        </w:trPr>
        <w:tc>
          <w:tcPr>
            <w:tcW w:w="5897" w:type="dxa"/>
            <w:tcBorders>
              <w:top w:val="nil"/>
              <w:left w:val="nil"/>
              <w:bottom w:val="nil"/>
              <w:right w:val="nil"/>
            </w:tcBorders>
            <w:shd w:val="clear" w:color="000000" w:fill="F2F2F2"/>
            <w:vAlign w:val="center"/>
            <w:hideMark/>
          </w:tcPr>
          <w:p w14:paraId="654330F2" w14:textId="77777777" w:rsidR="00655702" w:rsidRPr="00655702" w:rsidRDefault="00655702" w:rsidP="00655702">
            <w:pPr>
              <w:spacing w:after="0" w:line="240" w:lineRule="auto"/>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 xml:space="preserve">Deudores por Obligaciones Contractuales y Fiscales </w:t>
            </w:r>
          </w:p>
        </w:tc>
        <w:tc>
          <w:tcPr>
            <w:tcW w:w="2118" w:type="dxa"/>
            <w:tcBorders>
              <w:top w:val="nil"/>
              <w:left w:val="nil"/>
              <w:bottom w:val="nil"/>
              <w:right w:val="nil"/>
            </w:tcBorders>
            <w:shd w:val="clear" w:color="000000" w:fill="F2F2F2"/>
            <w:vAlign w:val="center"/>
            <w:hideMark/>
          </w:tcPr>
          <w:p w14:paraId="5DB99B04"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73,307,366.</w:t>
            </w:r>
            <w:r w:rsidR="00DF7611">
              <w:rPr>
                <w:rFonts w:ascii="Montserrat" w:eastAsia="Times New Roman" w:hAnsi="Montserrat"/>
                <w:color w:val="000000"/>
                <w:sz w:val="15"/>
                <w:szCs w:val="15"/>
                <w:lang w:val="es-MX" w:eastAsia="es-MX"/>
              </w:rPr>
              <w:t>6</w:t>
            </w:r>
          </w:p>
        </w:tc>
        <w:tc>
          <w:tcPr>
            <w:tcW w:w="2095" w:type="dxa"/>
            <w:tcBorders>
              <w:top w:val="nil"/>
              <w:left w:val="nil"/>
              <w:bottom w:val="nil"/>
              <w:right w:val="nil"/>
            </w:tcBorders>
            <w:shd w:val="clear" w:color="000000" w:fill="F2F2F2"/>
            <w:vAlign w:val="center"/>
            <w:hideMark/>
          </w:tcPr>
          <w:p w14:paraId="347CBFE5" w14:textId="77777777" w:rsidR="00655702" w:rsidRPr="00655702" w:rsidRDefault="00655702" w:rsidP="00655702">
            <w:pPr>
              <w:spacing w:after="0" w:line="240" w:lineRule="auto"/>
              <w:jc w:val="right"/>
              <w:rPr>
                <w:rFonts w:ascii="Montserrat" w:eastAsia="Times New Roman" w:hAnsi="Montserrat"/>
                <w:color w:val="000000"/>
                <w:sz w:val="15"/>
                <w:szCs w:val="15"/>
                <w:lang w:val="es-MX" w:eastAsia="es-MX"/>
              </w:rPr>
            </w:pPr>
            <w:r w:rsidRPr="00655702">
              <w:rPr>
                <w:rFonts w:ascii="Montserrat" w:eastAsia="Times New Roman" w:hAnsi="Montserrat"/>
                <w:color w:val="000000"/>
                <w:sz w:val="15"/>
                <w:szCs w:val="15"/>
                <w:lang w:val="es-MX" w:eastAsia="es-MX"/>
              </w:rPr>
              <w:t>72,885,268.9</w:t>
            </w:r>
          </w:p>
        </w:tc>
      </w:tr>
      <w:tr w:rsidR="00655702" w:rsidRPr="00655702" w14:paraId="20BC8B6F" w14:textId="77777777" w:rsidTr="00655702">
        <w:trPr>
          <w:trHeight w:val="260"/>
          <w:jc w:val="center"/>
        </w:trPr>
        <w:tc>
          <w:tcPr>
            <w:tcW w:w="5897" w:type="dxa"/>
            <w:tcBorders>
              <w:top w:val="nil"/>
              <w:left w:val="nil"/>
              <w:bottom w:val="single" w:sz="12" w:space="0" w:color="808080"/>
              <w:right w:val="nil"/>
            </w:tcBorders>
            <w:shd w:val="clear" w:color="000000" w:fill="F2F2F2"/>
            <w:vAlign w:val="center"/>
            <w:hideMark/>
          </w:tcPr>
          <w:p w14:paraId="4B623C42" w14:textId="77777777" w:rsidR="00655702" w:rsidRPr="00655702" w:rsidRDefault="00655702" w:rsidP="00655702">
            <w:pPr>
              <w:spacing w:after="0" w:line="240" w:lineRule="auto"/>
              <w:rPr>
                <w:rFonts w:ascii="Montserrat" w:eastAsia="Times New Roman" w:hAnsi="Montserrat"/>
                <w:b/>
                <w:bCs/>
                <w:color w:val="000000"/>
                <w:sz w:val="15"/>
                <w:szCs w:val="15"/>
                <w:lang w:val="es-MX" w:eastAsia="es-MX"/>
              </w:rPr>
            </w:pPr>
            <w:r w:rsidRPr="00655702">
              <w:rPr>
                <w:rFonts w:ascii="Montserrat" w:eastAsia="Times New Roman" w:hAnsi="Montserrat"/>
                <w:b/>
                <w:bCs/>
                <w:color w:val="000000"/>
                <w:sz w:val="15"/>
                <w:szCs w:val="15"/>
                <w:lang w:val="es-MX" w:eastAsia="es-MX"/>
              </w:rPr>
              <w:t>Total Deudores Diversos</w:t>
            </w:r>
          </w:p>
        </w:tc>
        <w:tc>
          <w:tcPr>
            <w:tcW w:w="2118" w:type="dxa"/>
            <w:tcBorders>
              <w:top w:val="nil"/>
              <w:left w:val="nil"/>
              <w:bottom w:val="single" w:sz="12" w:space="0" w:color="808080"/>
              <w:right w:val="nil"/>
            </w:tcBorders>
            <w:shd w:val="clear" w:color="000000" w:fill="F2F2F2"/>
            <w:vAlign w:val="center"/>
            <w:hideMark/>
          </w:tcPr>
          <w:p w14:paraId="12AE9894" w14:textId="77777777" w:rsidR="00655702" w:rsidRPr="00655702" w:rsidRDefault="00655702" w:rsidP="00655702">
            <w:pPr>
              <w:spacing w:after="0" w:line="240" w:lineRule="auto"/>
              <w:jc w:val="right"/>
              <w:rPr>
                <w:rFonts w:ascii="Montserrat" w:eastAsia="Times New Roman" w:hAnsi="Montserrat"/>
                <w:b/>
                <w:bCs/>
                <w:color w:val="000000"/>
                <w:sz w:val="15"/>
                <w:szCs w:val="15"/>
                <w:lang w:val="es-MX" w:eastAsia="es-MX"/>
              </w:rPr>
            </w:pPr>
            <w:r w:rsidRPr="00655702">
              <w:rPr>
                <w:rFonts w:ascii="Montserrat" w:eastAsia="Times New Roman" w:hAnsi="Montserrat"/>
                <w:b/>
                <w:bCs/>
                <w:color w:val="000000"/>
                <w:sz w:val="15"/>
                <w:szCs w:val="15"/>
                <w:lang w:val="es-MX" w:eastAsia="es-MX"/>
              </w:rPr>
              <w:t>7,783,316,097.0</w:t>
            </w:r>
          </w:p>
        </w:tc>
        <w:tc>
          <w:tcPr>
            <w:tcW w:w="2095" w:type="dxa"/>
            <w:tcBorders>
              <w:top w:val="nil"/>
              <w:left w:val="nil"/>
              <w:bottom w:val="single" w:sz="12" w:space="0" w:color="808080"/>
              <w:right w:val="nil"/>
            </w:tcBorders>
            <w:shd w:val="clear" w:color="000000" w:fill="F2F2F2"/>
            <w:vAlign w:val="center"/>
            <w:hideMark/>
          </w:tcPr>
          <w:p w14:paraId="4F202F1F" w14:textId="77777777" w:rsidR="00655702" w:rsidRPr="00655702" w:rsidRDefault="00655702" w:rsidP="00655702">
            <w:pPr>
              <w:spacing w:after="0" w:line="240" w:lineRule="auto"/>
              <w:jc w:val="right"/>
              <w:rPr>
                <w:rFonts w:ascii="Montserrat" w:eastAsia="Times New Roman" w:hAnsi="Montserrat"/>
                <w:b/>
                <w:bCs/>
                <w:color w:val="000000"/>
                <w:sz w:val="15"/>
                <w:szCs w:val="15"/>
                <w:lang w:val="es-MX" w:eastAsia="es-MX"/>
              </w:rPr>
            </w:pPr>
            <w:r w:rsidRPr="00655702">
              <w:rPr>
                <w:rFonts w:ascii="Montserrat" w:eastAsia="Times New Roman" w:hAnsi="Montserrat"/>
                <w:b/>
                <w:bCs/>
                <w:color w:val="000000"/>
                <w:sz w:val="15"/>
                <w:szCs w:val="15"/>
                <w:lang w:val="es-MX" w:eastAsia="es-MX"/>
              </w:rPr>
              <w:t>8,020,435,139.4</w:t>
            </w:r>
          </w:p>
        </w:tc>
      </w:tr>
    </w:tbl>
    <w:p w14:paraId="7C3DECA0" w14:textId="77777777" w:rsidR="00655702" w:rsidRDefault="00655702" w:rsidP="009D5C48">
      <w:pPr>
        <w:pStyle w:val="TEXTONORMAL"/>
        <w:rPr>
          <w:lang w:val="es-MX"/>
        </w:rPr>
      </w:pPr>
    </w:p>
    <w:p w14:paraId="6EABA504" w14:textId="77777777" w:rsidR="009D5C48" w:rsidRDefault="009D5C48" w:rsidP="003F2A12">
      <w:pPr>
        <w:pStyle w:val="TEXTONORMAL"/>
        <w:numPr>
          <w:ilvl w:val="0"/>
          <w:numId w:val="14"/>
        </w:numPr>
        <w:ind w:left="998" w:hanging="284"/>
        <w:rPr>
          <w:lang w:val="es-MX"/>
        </w:rPr>
      </w:pPr>
      <w:r w:rsidRPr="00101479">
        <w:rPr>
          <w:b/>
          <w:lang w:val="es-MX"/>
        </w:rPr>
        <w:t>1.2.b.</w:t>
      </w:r>
      <w:r w:rsidR="00E6706F">
        <w:rPr>
          <w:b/>
          <w:lang w:val="es-MX"/>
        </w:rPr>
        <w:t>1</w:t>
      </w:r>
      <w:r w:rsidRPr="00101479">
        <w:rPr>
          <w:b/>
          <w:lang w:val="es-MX"/>
        </w:rPr>
        <w:t>)</w:t>
      </w:r>
      <w:r w:rsidRPr="00291849">
        <w:rPr>
          <w:lang w:val="es-MX"/>
        </w:rPr>
        <w:t xml:space="preserve"> De conformidad con el Contrato Colectivo de Trabajo (CCT), el Instituto proporciona a su personal facilidades para compra de bienes y servicios; así como, anticipos de sueldos, mediante descuentos que se realizan quincenalmente vía nómina. Dichas prestaciones tienen un esquema de otorgamiento y recuperación dinámico, toda vez que los préstamos vigentes se van liquidando y, a la vez se otorgan nuevos créditos, lo cual genera adeudos distintos a los iniciales, que se reflejan en los sa</w:t>
      </w:r>
      <w:r>
        <w:rPr>
          <w:lang w:val="es-MX"/>
        </w:rPr>
        <w:t xml:space="preserve">ldos. </w:t>
      </w:r>
      <w:r w:rsidR="000F23F2">
        <w:t>Al 30</w:t>
      </w:r>
      <w:r w:rsidR="00F036B7">
        <w:t xml:space="preserve"> de </w:t>
      </w:r>
      <w:r w:rsidR="00655702">
        <w:t>septiembre</w:t>
      </w:r>
      <w:r w:rsidR="00F036B7">
        <w:t xml:space="preserve"> de 2022</w:t>
      </w:r>
      <w:r w:rsidR="00F036B7" w:rsidRPr="000B2CE4">
        <w:t xml:space="preserve"> y </w:t>
      </w:r>
      <w:r w:rsidR="00F76CFC">
        <w:t xml:space="preserve">al </w:t>
      </w:r>
      <w:r w:rsidR="00F036B7">
        <w:t>31 de diciembre de 2021</w:t>
      </w:r>
      <w:r w:rsidRPr="00291849">
        <w:rPr>
          <w:lang w:val="es-MX"/>
        </w:rPr>
        <w:t>, el Instituto consideró que la mayor parte de los adeudos del personal tendrán vencimiento en</w:t>
      </w:r>
      <w:r>
        <w:rPr>
          <w:lang w:val="es-MX"/>
        </w:rPr>
        <w:t xml:space="preserve"> el corto plazo, por lo tanto, </w:t>
      </w:r>
      <w:r w:rsidRPr="00291849">
        <w:rPr>
          <w:lang w:val="es-MX"/>
        </w:rPr>
        <w:t>están contenidos en el activo circulante.</w:t>
      </w:r>
    </w:p>
    <w:p w14:paraId="49E68410" w14:textId="77777777" w:rsidR="00D0444B" w:rsidRPr="00291849" w:rsidRDefault="00D0444B" w:rsidP="00D0444B">
      <w:pPr>
        <w:pStyle w:val="TEXTONORMAL"/>
        <w:ind w:left="998"/>
        <w:rPr>
          <w:lang w:val="es-MX"/>
        </w:rPr>
      </w:pPr>
    </w:p>
    <w:p w14:paraId="2B652C29" w14:textId="77777777" w:rsidR="00714153" w:rsidRDefault="009D5C48" w:rsidP="00292B70">
      <w:pPr>
        <w:pStyle w:val="TEXTONORMAL"/>
        <w:numPr>
          <w:ilvl w:val="0"/>
          <w:numId w:val="12"/>
        </w:numPr>
        <w:ind w:left="714" w:hanging="357"/>
        <w:rPr>
          <w:lang w:val="es-MX"/>
        </w:rPr>
      </w:pPr>
      <w:r>
        <w:rPr>
          <w:b/>
          <w:lang w:val="es-MX"/>
        </w:rPr>
        <w:t>1.2.c</w:t>
      </w:r>
      <w:r w:rsidRPr="006246B6">
        <w:rPr>
          <w:b/>
          <w:lang w:val="es-MX"/>
        </w:rPr>
        <w:t>)</w:t>
      </w:r>
      <w:r w:rsidRPr="006246B6">
        <w:rPr>
          <w:lang w:val="es-MX"/>
        </w:rPr>
        <w:t xml:space="preserve"> </w:t>
      </w:r>
      <w:r w:rsidR="00520E0D">
        <w:t>Al 30 de septiembre</w:t>
      </w:r>
      <w:r w:rsidR="00F036B7">
        <w:t xml:space="preserve"> de 2022</w:t>
      </w:r>
      <w:r w:rsidR="00F036B7" w:rsidRPr="000B2CE4">
        <w:t xml:space="preserve"> y </w:t>
      </w:r>
      <w:r w:rsidR="00585C63">
        <w:t xml:space="preserve">al </w:t>
      </w:r>
      <w:r w:rsidR="00F036B7">
        <w:t>31 de diciembre de 2021</w:t>
      </w:r>
      <w:r w:rsidRPr="006246B6">
        <w:rPr>
          <w:lang w:val="es-MX"/>
        </w:rPr>
        <w:t>, el rubro de Otros Derechos a Recibir Efectivo y Equivalentes</w:t>
      </w:r>
      <w:r w:rsidRPr="00E15125">
        <w:rPr>
          <w:lang w:val="es-MX"/>
        </w:rPr>
        <w:t xml:space="preserve"> </w:t>
      </w:r>
      <w:r w:rsidR="00585C63">
        <w:rPr>
          <w:lang w:val="es-MX"/>
        </w:rPr>
        <w:t>se integra como sigue:</w:t>
      </w:r>
    </w:p>
    <w:p w14:paraId="635BEC45" w14:textId="77777777" w:rsidR="00292B70" w:rsidRDefault="00292B70" w:rsidP="00292B70">
      <w:pPr>
        <w:pStyle w:val="TEXTONORMAL"/>
        <w:ind w:left="714"/>
        <w:rPr>
          <w:lang w:val="es-MX"/>
        </w:rPr>
      </w:pPr>
    </w:p>
    <w:tbl>
      <w:tblPr>
        <w:tblW w:w="10200" w:type="dxa"/>
        <w:jc w:val="center"/>
        <w:tblCellMar>
          <w:left w:w="70" w:type="dxa"/>
          <w:right w:w="70" w:type="dxa"/>
        </w:tblCellMar>
        <w:tblLook w:val="04A0" w:firstRow="1" w:lastRow="0" w:firstColumn="1" w:lastColumn="0" w:noHBand="0" w:noVBand="1"/>
      </w:tblPr>
      <w:tblGrid>
        <w:gridCol w:w="5949"/>
        <w:gridCol w:w="2137"/>
        <w:gridCol w:w="2114"/>
      </w:tblGrid>
      <w:tr w:rsidR="00520E0D" w:rsidRPr="00520E0D" w14:paraId="1F478A24" w14:textId="77777777" w:rsidTr="00520E0D">
        <w:trPr>
          <w:trHeight w:val="259"/>
          <w:jc w:val="center"/>
        </w:trPr>
        <w:tc>
          <w:tcPr>
            <w:tcW w:w="594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88408ED" w14:textId="77777777" w:rsidR="00520E0D" w:rsidRPr="00520E0D" w:rsidRDefault="00520E0D" w:rsidP="00520E0D">
            <w:pPr>
              <w:spacing w:after="0" w:line="240" w:lineRule="auto"/>
              <w:jc w:val="center"/>
              <w:rPr>
                <w:rFonts w:eastAsia="Times New Roman"/>
                <w:color w:val="000000"/>
                <w:lang w:val="es-MX" w:eastAsia="es-MX"/>
              </w:rPr>
            </w:pPr>
            <w:r w:rsidRPr="00520E0D">
              <w:rPr>
                <w:rFonts w:ascii="Montserrat" w:eastAsia="Times New Roman" w:hAnsi="Montserrat"/>
                <w:b/>
                <w:bCs/>
                <w:color w:val="FFFFFF"/>
                <w:sz w:val="16"/>
                <w:szCs w:val="16"/>
                <w:lang w:val="es-MX" w:eastAsia="es-MX"/>
              </w:rPr>
              <w:t>Concepto</w:t>
            </w:r>
          </w:p>
        </w:tc>
        <w:tc>
          <w:tcPr>
            <w:tcW w:w="42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C576195" w14:textId="77777777" w:rsidR="00520E0D" w:rsidRPr="00520E0D" w:rsidRDefault="00520E0D" w:rsidP="00520E0D">
            <w:pPr>
              <w:spacing w:after="0" w:line="240" w:lineRule="auto"/>
              <w:jc w:val="center"/>
              <w:rPr>
                <w:rFonts w:ascii="Montserrat" w:eastAsia="Times New Roman" w:hAnsi="Montserrat"/>
                <w:b/>
                <w:bCs/>
                <w:color w:val="FFFFFF"/>
                <w:sz w:val="16"/>
                <w:szCs w:val="16"/>
                <w:lang w:val="es-MX" w:eastAsia="es-MX"/>
              </w:rPr>
            </w:pPr>
            <w:r w:rsidRPr="00520E0D">
              <w:rPr>
                <w:rFonts w:ascii="Montserrat" w:eastAsia="Times New Roman" w:hAnsi="Montserrat"/>
                <w:b/>
                <w:bCs/>
                <w:color w:val="FFFFFF"/>
                <w:sz w:val="16"/>
                <w:szCs w:val="16"/>
                <w:lang w:val="es-MX" w:eastAsia="es-MX"/>
              </w:rPr>
              <w:t>Cifras en pesos</w:t>
            </w:r>
          </w:p>
        </w:tc>
      </w:tr>
      <w:tr w:rsidR="00520E0D" w:rsidRPr="00520E0D" w14:paraId="460A64AB" w14:textId="77777777" w:rsidTr="00520E0D">
        <w:trPr>
          <w:trHeight w:val="259"/>
          <w:jc w:val="center"/>
        </w:trPr>
        <w:tc>
          <w:tcPr>
            <w:tcW w:w="5949" w:type="dxa"/>
            <w:vMerge/>
            <w:tcBorders>
              <w:top w:val="single" w:sz="12" w:space="0" w:color="808080"/>
              <w:left w:val="nil"/>
              <w:bottom w:val="double" w:sz="6" w:space="0" w:color="808080"/>
              <w:right w:val="single" w:sz="12" w:space="0" w:color="FFFFFF"/>
            </w:tcBorders>
            <w:vAlign w:val="center"/>
            <w:hideMark/>
          </w:tcPr>
          <w:p w14:paraId="168B47F8" w14:textId="77777777" w:rsidR="00520E0D" w:rsidRPr="00520E0D" w:rsidRDefault="00520E0D" w:rsidP="00520E0D">
            <w:pPr>
              <w:spacing w:after="0" w:line="240" w:lineRule="auto"/>
              <w:rPr>
                <w:rFonts w:eastAsia="Times New Roman"/>
                <w:color w:val="000000"/>
                <w:lang w:val="es-MX" w:eastAsia="es-MX"/>
              </w:rPr>
            </w:pPr>
          </w:p>
        </w:tc>
        <w:tc>
          <w:tcPr>
            <w:tcW w:w="2137" w:type="dxa"/>
            <w:tcBorders>
              <w:top w:val="nil"/>
              <w:left w:val="nil"/>
              <w:bottom w:val="double" w:sz="6" w:space="0" w:color="808080"/>
              <w:right w:val="single" w:sz="12" w:space="0" w:color="FFFFFF"/>
            </w:tcBorders>
            <w:shd w:val="clear" w:color="000000" w:fill="D4C19C"/>
            <w:vAlign w:val="center"/>
            <w:hideMark/>
          </w:tcPr>
          <w:p w14:paraId="7854B41B" w14:textId="77777777" w:rsidR="00520E0D" w:rsidRPr="00520E0D" w:rsidRDefault="00520E0D" w:rsidP="00520E0D">
            <w:pPr>
              <w:spacing w:after="0" w:line="240" w:lineRule="auto"/>
              <w:jc w:val="center"/>
              <w:rPr>
                <w:rFonts w:ascii="Montserrat" w:eastAsia="Times New Roman" w:hAnsi="Montserrat"/>
                <w:b/>
                <w:bCs/>
                <w:color w:val="FFFFFF"/>
                <w:sz w:val="16"/>
                <w:szCs w:val="16"/>
                <w:lang w:val="es-MX" w:eastAsia="es-MX"/>
              </w:rPr>
            </w:pPr>
            <w:r w:rsidRPr="00520E0D">
              <w:rPr>
                <w:rFonts w:ascii="Montserrat" w:eastAsia="Times New Roman" w:hAnsi="Montserrat"/>
                <w:b/>
                <w:bCs/>
                <w:color w:val="FFFFFF"/>
                <w:sz w:val="16"/>
                <w:szCs w:val="16"/>
                <w:lang w:val="es-MX" w:eastAsia="es-MX"/>
              </w:rPr>
              <w:t>2022</w:t>
            </w:r>
          </w:p>
        </w:tc>
        <w:tc>
          <w:tcPr>
            <w:tcW w:w="2114" w:type="dxa"/>
            <w:tcBorders>
              <w:top w:val="nil"/>
              <w:left w:val="nil"/>
              <w:bottom w:val="double" w:sz="6" w:space="0" w:color="808080"/>
              <w:right w:val="single" w:sz="12" w:space="0" w:color="FFFFFF"/>
            </w:tcBorders>
            <w:shd w:val="clear" w:color="000000" w:fill="D4C19C"/>
            <w:vAlign w:val="center"/>
            <w:hideMark/>
          </w:tcPr>
          <w:p w14:paraId="648E66CB" w14:textId="77777777" w:rsidR="00520E0D" w:rsidRPr="00520E0D" w:rsidRDefault="00520E0D" w:rsidP="00520E0D">
            <w:pPr>
              <w:spacing w:after="0" w:line="240" w:lineRule="auto"/>
              <w:jc w:val="center"/>
              <w:rPr>
                <w:rFonts w:ascii="Montserrat" w:eastAsia="Times New Roman" w:hAnsi="Montserrat"/>
                <w:b/>
                <w:bCs/>
                <w:color w:val="FFFFFF"/>
                <w:sz w:val="16"/>
                <w:szCs w:val="16"/>
                <w:lang w:val="es-MX" w:eastAsia="es-MX"/>
              </w:rPr>
            </w:pPr>
            <w:r w:rsidRPr="00520E0D">
              <w:rPr>
                <w:rFonts w:ascii="Montserrat" w:eastAsia="Times New Roman" w:hAnsi="Montserrat"/>
                <w:b/>
                <w:bCs/>
                <w:color w:val="FFFFFF"/>
                <w:sz w:val="16"/>
                <w:szCs w:val="16"/>
                <w:lang w:val="es-MX" w:eastAsia="es-MX"/>
              </w:rPr>
              <w:t>2021</w:t>
            </w:r>
          </w:p>
        </w:tc>
      </w:tr>
      <w:tr w:rsidR="00520E0D" w:rsidRPr="00520E0D" w14:paraId="2B63B64B" w14:textId="77777777" w:rsidTr="00520E0D">
        <w:trPr>
          <w:trHeight w:val="247"/>
          <w:jc w:val="center"/>
        </w:trPr>
        <w:tc>
          <w:tcPr>
            <w:tcW w:w="5949" w:type="dxa"/>
            <w:tcBorders>
              <w:top w:val="nil"/>
              <w:left w:val="nil"/>
              <w:bottom w:val="nil"/>
              <w:right w:val="nil"/>
            </w:tcBorders>
            <w:shd w:val="clear" w:color="000000" w:fill="F2F2F2"/>
            <w:vAlign w:val="center"/>
            <w:hideMark/>
          </w:tcPr>
          <w:p w14:paraId="17C4D5AE" w14:textId="77777777" w:rsidR="00520E0D" w:rsidRPr="00520E0D" w:rsidRDefault="00520E0D" w:rsidP="00520E0D">
            <w:pPr>
              <w:spacing w:after="0" w:line="240" w:lineRule="auto"/>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Impuestos Acreditables</w:t>
            </w:r>
          </w:p>
        </w:tc>
        <w:tc>
          <w:tcPr>
            <w:tcW w:w="2137" w:type="dxa"/>
            <w:tcBorders>
              <w:top w:val="nil"/>
              <w:left w:val="nil"/>
              <w:bottom w:val="nil"/>
              <w:right w:val="nil"/>
            </w:tcBorders>
            <w:shd w:val="clear" w:color="000000" w:fill="F2F2F2"/>
            <w:vAlign w:val="center"/>
            <w:hideMark/>
          </w:tcPr>
          <w:p w14:paraId="75463AB7"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30,341,031.9</w:t>
            </w:r>
          </w:p>
        </w:tc>
        <w:tc>
          <w:tcPr>
            <w:tcW w:w="2114" w:type="dxa"/>
            <w:tcBorders>
              <w:top w:val="nil"/>
              <w:left w:val="nil"/>
              <w:bottom w:val="nil"/>
              <w:right w:val="nil"/>
            </w:tcBorders>
            <w:shd w:val="clear" w:color="000000" w:fill="F2F2F2"/>
            <w:vAlign w:val="center"/>
            <w:hideMark/>
          </w:tcPr>
          <w:p w14:paraId="22477BC3"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29,853,345.7</w:t>
            </w:r>
          </w:p>
        </w:tc>
      </w:tr>
      <w:tr w:rsidR="00520E0D" w:rsidRPr="00520E0D" w14:paraId="1CF28FAB" w14:textId="77777777" w:rsidTr="00520E0D">
        <w:trPr>
          <w:trHeight w:val="235"/>
          <w:jc w:val="center"/>
        </w:trPr>
        <w:tc>
          <w:tcPr>
            <w:tcW w:w="5949" w:type="dxa"/>
            <w:tcBorders>
              <w:top w:val="nil"/>
              <w:left w:val="nil"/>
              <w:bottom w:val="nil"/>
              <w:right w:val="nil"/>
            </w:tcBorders>
            <w:shd w:val="clear" w:color="000000" w:fill="F2F2F2"/>
            <w:vAlign w:val="center"/>
            <w:hideMark/>
          </w:tcPr>
          <w:p w14:paraId="2B55158B" w14:textId="77777777" w:rsidR="00520E0D" w:rsidRPr="00520E0D" w:rsidRDefault="00520E0D" w:rsidP="00520E0D">
            <w:pPr>
              <w:spacing w:after="0" w:line="240" w:lineRule="auto"/>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Otros Derechos</w:t>
            </w:r>
          </w:p>
        </w:tc>
        <w:tc>
          <w:tcPr>
            <w:tcW w:w="2137" w:type="dxa"/>
            <w:tcBorders>
              <w:top w:val="nil"/>
              <w:left w:val="nil"/>
              <w:bottom w:val="nil"/>
              <w:right w:val="nil"/>
            </w:tcBorders>
            <w:shd w:val="clear" w:color="000000" w:fill="F2F2F2"/>
            <w:vAlign w:val="center"/>
            <w:hideMark/>
          </w:tcPr>
          <w:p w14:paraId="7A28351B"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128,869.4</w:t>
            </w:r>
          </w:p>
        </w:tc>
        <w:tc>
          <w:tcPr>
            <w:tcW w:w="2114" w:type="dxa"/>
            <w:tcBorders>
              <w:top w:val="nil"/>
              <w:left w:val="nil"/>
              <w:bottom w:val="nil"/>
              <w:right w:val="nil"/>
            </w:tcBorders>
            <w:shd w:val="clear" w:color="000000" w:fill="F2F2F2"/>
            <w:vAlign w:val="center"/>
            <w:hideMark/>
          </w:tcPr>
          <w:p w14:paraId="738A552D"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201,389.5</w:t>
            </w:r>
          </w:p>
        </w:tc>
      </w:tr>
      <w:tr w:rsidR="00520E0D" w:rsidRPr="00520E0D" w14:paraId="56D441C9" w14:textId="77777777" w:rsidTr="00520E0D">
        <w:trPr>
          <w:trHeight w:val="235"/>
          <w:jc w:val="center"/>
        </w:trPr>
        <w:tc>
          <w:tcPr>
            <w:tcW w:w="5949" w:type="dxa"/>
            <w:tcBorders>
              <w:top w:val="nil"/>
              <w:left w:val="nil"/>
              <w:bottom w:val="nil"/>
              <w:right w:val="nil"/>
            </w:tcBorders>
            <w:shd w:val="clear" w:color="000000" w:fill="F2F2F2"/>
            <w:vAlign w:val="center"/>
            <w:hideMark/>
          </w:tcPr>
          <w:p w14:paraId="207E5164" w14:textId="77777777" w:rsidR="00520E0D" w:rsidRPr="00520E0D" w:rsidRDefault="00520E0D" w:rsidP="00520E0D">
            <w:pPr>
              <w:spacing w:after="0" w:line="240" w:lineRule="auto"/>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 xml:space="preserve">Cuenta por Cobrar ROCF </w:t>
            </w:r>
            <w:r w:rsidRPr="00520E0D">
              <w:rPr>
                <w:rFonts w:ascii="Montserrat" w:eastAsia="Times New Roman" w:hAnsi="Montserrat"/>
                <w:b/>
                <w:bCs/>
                <w:color w:val="000000"/>
                <w:sz w:val="15"/>
                <w:szCs w:val="15"/>
                <w:lang w:val="es-MX" w:eastAsia="es-MX"/>
              </w:rPr>
              <w:t>(1.2.c.1)</w:t>
            </w:r>
          </w:p>
        </w:tc>
        <w:tc>
          <w:tcPr>
            <w:tcW w:w="2137" w:type="dxa"/>
            <w:tcBorders>
              <w:top w:val="nil"/>
              <w:left w:val="nil"/>
              <w:bottom w:val="nil"/>
              <w:right w:val="nil"/>
            </w:tcBorders>
            <w:shd w:val="clear" w:color="000000" w:fill="F2F2F2"/>
            <w:vAlign w:val="center"/>
            <w:hideMark/>
          </w:tcPr>
          <w:p w14:paraId="29051AA2"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0.0</w:t>
            </w:r>
          </w:p>
        </w:tc>
        <w:tc>
          <w:tcPr>
            <w:tcW w:w="2114" w:type="dxa"/>
            <w:tcBorders>
              <w:top w:val="nil"/>
              <w:left w:val="nil"/>
              <w:bottom w:val="nil"/>
              <w:right w:val="nil"/>
            </w:tcBorders>
            <w:shd w:val="clear" w:color="000000" w:fill="F2F2F2"/>
            <w:vAlign w:val="center"/>
            <w:hideMark/>
          </w:tcPr>
          <w:p w14:paraId="43DB8042" w14:textId="77777777" w:rsidR="00520E0D" w:rsidRPr="00520E0D" w:rsidRDefault="00520E0D" w:rsidP="00520E0D">
            <w:pPr>
              <w:spacing w:after="0" w:line="240" w:lineRule="auto"/>
              <w:jc w:val="right"/>
              <w:rPr>
                <w:rFonts w:ascii="Montserrat" w:eastAsia="Times New Roman" w:hAnsi="Montserrat"/>
                <w:color w:val="000000"/>
                <w:sz w:val="15"/>
                <w:szCs w:val="15"/>
                <w:lang w:val="es-MX" w:eastAsia="es-MX"/>
              </w:rPr>
            </w:pPr>
            <w:r w:rsidRPr="00520E0D">
              <w:rPr>
                <w:rFonts w:ascii="Montserrat" w:eastAsia="Times New Roman" w:hAnsi="Montserrat"/>
                <w:color w:val="000000"/>
                <w:sz w:val="15"/>
                <w:szCs w:val="15"/>
                <w:lang w:val="es-MX" w:eastAsia="es-MX"/>
              </w:rPr>
              <w:t>6,500,000,000.0</w:t>
            </w:r>
          </w:p>
        </w:tc>
      </w:tr>
      <w:tr w:rsidR="00520E0D" w:rsidRPr="00520E0D" w14:paraId="026673E3" w14:textId="77777777" w:rsidTr="00520E0D">
        <w:trPr>
          <w:trHeight w:val="247"/>
          <w:jc w:val="center"/>
        </w:trPr>
        <w:tc>
          <w:tcPr>
            <w:tcW w:w="5949" w:type="dxa"/>
            <w:tcBorders>
              <w:top w:val="nil"/>
              <w:left w:val="nil"/>
              <w:bottom w:val="single" w:sz="12" w:space="0" w:color="808080"/>
              <w:right w:val="nil"/>
            </w:tcBorders>
            <w:shd w:val="clear" w:color="000000" w:fill="F2F2F2"/>
            <w:vAlign w:val="center"/>
            <w:hideMark/>
          </w:tcPr>
          <w:p w14:paraId="27ECA5BF" w14:textId="77777777" w:rsidR="00520E0D" w:rsidRPr="00520E0D" w:rsidRDefault="00520E0D" w:rsidP="00520E0D">
            <w:pPr>
              <w:spacing w:after="0" w:line="240" w:lineRule="auto"/>
              <w:rPr>
                <w:rFonts w:ascii="Montserrat" w:eastAsia="Times New Roman" w:hAnsi="Montserrat"/>
                <w:b/>
                <w:bCs/>
                <w:color w:val="000000"/>
                <w:sz w:val="15"/>
                <w:szCs w:val="15"/>
                <w:lang w:val="es-MX" w:eastAsia="es-MX"/>
              </w:rPr>
            </w:pPr>
            <w:r w:rsidRPr="00520E0D">
              <w:rPr>
                <w:rFonts w:ascii="Montserrat" w:eastAsia="Times New Roman" w:hAnsi="Montserrat"/>
                <w:b/>
                <w:bCs/>
                <w:color w:val="000000"/>
                <w:sz w:val="15"/>
                <w:szCs w:val="15"/>
                <w:lang w:val="es-MX" w:eastAsia="es-MX"/>
              </w:rPr>
              <w:t xml:space="preserve">Total Otros Derechos a Recibir Efectivo y Equivalentes </w:t>
            </w:r>
          </w:p>
        </w:tc>
        <w:tc>
          <w:tcPr>
            <w:tcW w:w="2137" w:type="dxa"/>
            <w:tcBorders>
              <w:top w:val="nil"/>
              <w:left w:val="nil"/>
              <w:bottom w:val="single" w:sz="12" w:space="0" w:color="808080"/>
              <w:right w:val="nil"/>
            </w:tcBorders>
            <w:shd w:val="clear" w:color="000000" w:fill="F2F2F2"/>
            <w:vAlign w:val="center"/>
            <w:hideMark/>
          </w:tcPr>
          <w:p w14:paraId="3C9F4F2D" w14:textId="77777777" w:rsidR="00520E0D" w:rsidRPr="00520E0D" w:rsidRDefault="00520E0D" w:rsidP="00520E0D">
            <w:pPr>
              <w:spacing w:after="0" w:line="240" w:lineRule="auto"/>
              <w:jc w:val="right"/>
              <w:rPr>
                <w:rFonts w:ascii="Montserrat" w:eastAsia="Times New Roman" w:hAnsi="Montserrat"/>
                <w:b/>
                <w:bCs/>
                <w:color w:val="000000"/>
                <w:sz w:val="15"/>
                <w:szCs w:val="15"/>
                <w:lang w:val="es-MX" w:eastAsia="es-MX"/>
              </w:rPr>
            </w:pPr>
            <w:r w:rsidRPr="00520E0D">
              <w:rPr>
                <w:rFonts w:ascii="Montserrat" w:eastAsia="Times New Roman" w:hAnsi="Montserrat"/>
                <w:b/>
                <w:bCs/>
                <w:color w:val="000000"/>
                <w:sz w:val="15"/>
                <w:szCs w:val="15"/>
                <w:lang w:val="es-MX" w:eastAsia="es-MX"/>
              </w:rPr>
              <w:t>30,469,901.3</w:t>
            </w:r>
          </w:p>
        </w:tc>
        <w:tc>
          <w:tcPr>
            <w:tcW w:w="2114" w:type="dxa"/>
            <w:tcBorders>
              <w:top w:val="nil"/>
              <w:left w:val="nil"/>
              <w:bottom w:val="single" w:sz="12" w:space="0" w:color="808080"/>
              <w:right w:val="nil"/>
            </w:tcBorders>
            <w:shd w:val="clear" w:color="000000" w:fill="F2F2F2"/>
            <w:vAlign w:val="center"/>
            <w:hideMark/>
          </w:tcPr>
          <w:p w14:paraId="46AD536E" w14:textId="77777777" w:rsidR="00520E0D" w:rsidRPr="00520E0D" w:rsidRDefault="00520E0D" w:rsidP="00520E0D">
            <w:pPr>
              <w:spacing w:after="0" w:line="240" w:lineRule="auto"/>
              <w:jc w:val="right"/>
              <w:rPr>
                <w:rFonts w:ascii="Montserrat" w:eastAsia="Times New Roman" w:hAnsi="Montserrat"/>
                <w:b/>
                <w:bCs/>
                <w:color w:val="000000"/>
                <w:sz w:val="15"/>
                <w:szCs w:val="15"/>
                <w:lang w:val="es-MX" w:eastAsia="es-MX"/>
              </w:rPr>
            </w:pPr>
            <w:r w:rsidRPr="00520E0D">
              <w:rPr>
                <w:rFonts w:ascii="Montserrat" w:eastAsia="Times New Roman" w:hAnsi="Montserrat"/>
                <w:b/>
                <w:bCs/>
                <w:color w:val="000000"/>
                <w:sz w:val="15"/>
                <w:szCs w:val="15"/>
                <w:lang w:val="es-MX" w:eastAsia="es-MX"/>
              </w:rPr>
              <w:t>6,530,054,735.2</w:t>
            </w:r>
          </w:p>
        </w:tc>
      </w:tr>
    </w:tbl>
    <w:p w14:paraId="2F788589" w14:textId="77777777" w:rsidR="00520E0D" w:rsidRDefault="00520E0D" w:rsidP="00380E7B">
      <w:pPr>
        <w:pStyle w:val="TEXTONORMAL"/>
        <w:rPr>
          <w:lang w:val="es-MX"/>
        </w:rPr>
      </w:pPr>
    </w:p>
    <w:p w14:paraId="3DA7A9D8" w14:textId="77777777" w:rsidR="00380E7B" w:rsidRDefault="00380E7B" w:rsidP="00380E7B">
      <w:pPr>
        <w:pStyle w:val="TEXTONORMAL"/>
        <w:rPr>
          <w:lang w:val="es-MX"/>
        </w:rPr>
      </w:pPr>
    </w:p>
    <w:p w14:paraId="642BA27A" w14:textId="77777777" w:rsidR="00380E7B" w:rsidRDefault="00380E7B" w:rsidP="00380E7B">
      <w:pPr>
        <w:pStyle w:val="TEXTONORMAL"/>
        <w:rPr>
          <w:lang w:val="es-MX"/>
        </w:rPr>
      </w:pPr>
    </w:p>
    <w:p w14:paraId="79050872" w14:textId="77777777" w:rsidR="00393450" w:rsidRDefault="00393450" w:rsidP="00380E7B">
      <w:pPr>
        <w:pStyle w:val="TEXTONORMAL"/>
        <w:rPr>
          <w:lang w:val="es-MX"/>
        </w:rPr>
      </w:pPr>
    </w:p>
    <w:p w14:paraId="5121ED5B" w14:textId="77777777" w:rsidR="007E1BF0" w:rsidRPr="00FA3635" w:rsidRDefault="009D5C48" w:rsidP="003F2A12">
      <w:pPr>
        <w:pStyle w:val="TEXTONORMAL"/>
        <w:numPr>
          <w:ilvl w:val="0"/>
          <w:numId w:val="15"/>
        </w:numPr>
        <w:ind w:left="998" w:hanging="284"/>
      </w:pPr>
      <w:r w:rsidRPr="00FA3635">
        <w:rPr>
          <w:rFonts w:eastAsia="Times New Roman"/>
          <w:b/>
          <w:color w:val="000000"/>
          <w:lang w:val="es-MX" w:eastAsia="es-MX"/>
        </w:rPr>
        <w:lastRenderedPageBreak/>
        <w:t xml:space="preserve">1.2.c.1) </w:t>
      </w:r>
      <w:r w:rsidR="00F220FC" w:rsidRPr="00FA3635">
        <w:rPr>
          <w:lang w:val="es-MX"/>
        </w:rPr>
        <w:t>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w:t>
      </w:r>
      <w:r w:rsidR="005B302F" w:rsidRPr="00FA3635">
        <w:rPr>
          <w:lang w:val="es-MX"/>
        </w:rPr>
        <w:t xml:space="preserve"> </w:t>
      </w:r>
      <w:r w:rsidR="00F220FC" w:rsidRPr="00FA3635">
        <w:rPr>
          <w:lang w:val="es-MX"/>
        </w:rPr>
        <w:t xml:space="preserve">6,500,000,000.0 pesos, así mismo al cierre de marzo 2022 </w:t>
      </w:r>
      <w:r w:rsidR="00FA3635" w:rsidRPr="00FA3635">
        <w:rPr>
          <w:lang w:val="es-MX"/>
        </w:rPr>
        <w:t>se devolvieron</w:t>
      </w:r>
      <w:r w:rsidR="00F220FC" w:rsidRPr="00FA3635">
        <w:rPr>
          <w:lang w:val="es-MX"/>
        </w:rPr>
        <w:t xml:space="preserve"> los  6,000,000,000.0 pesos restantes a la ROCF.</w:t>
      </w:r>
    </w:p>
    <w:p w14:paraId="1D9BA449" w14:textId="77777777" w:rsidR="00620DFB" w:rsidRPr="005A6534" w:rsidRDefault="00620DFB" w:rsidP="00620DFB">
      <w:pPr>
        <w:pStyle w:val="TEXTONORMAL"/>
        <w:spacing w:after="0"/>
        <w:ind w:left="998"/>
      </w:pPr>
    </w:p>
    <w:p w14:paraId="76FA5165" w14:textId="77777777" w:rsidR="009D5C48" w:rsidRDefault="009D5C48" w:rsidP="003F2A12">
      <w:pPr>
        <w:pStyle w:val="TEXTONORMAL"/>
        <w:numPr>
          <w:ilvl w:val="0"/>
          <w:numId w:val="12"/>
        </w:numPr>
        <w:ind w:left="714" w:hanging="357"/>
        <w:rPr>
          <w:lang w:val="es-MX"/>
        </w:rPr>
      </w:pPr>
      <w:r>
        <w:rPr>
          <w:b/>
          <w:lang w:val="es-MX"/>
        </w:rPr>
        <w:t>1.2.d</w:t>
      </w:r>
      <w:r w:rsidRPr="00A50EDF">
        <w:rPr>
          <w:b/>
          <w:lang w:val="es-MX"/>
        </w:rPr>
        <w:t>)</w:t>
      </w:r>
      <w:r>
        <w:rPr>
          <w:lang w:val="es-MX"/>
        </w:rPr>
        <w:t xml:space="preserve"> </w:t>
      </w:r>
      <w:r w:rsidR="00D16941">
        <w:t>Al 30</w:t>
      </w:r>
      <w:r w:rsidR="00F036B7">
        <w:t xml:space="preserve"> de </w:t>
      </w:r>
      <w:r w:rsidR="006B7913">
        <w:t>septiembre</w:t>
      </w:r>
      <w:r w:rsidR="00F036B7">
        <w:t xml:space="preserve"> de 2022</w:t>
      </w:r>
      <w:r w:rsidR="00F036B7" w:rsidRPr="000B2CE4">
        <w:t xml:space="preserve"> y </w:t>
      </w:r>
      <w:r w:rsidR="00585C63">
        <w:t xml:space="preserve">al </w:t>
      </w:r>
      <w:r w:rsidR="00F036B7">
        <w:t>31 de diciembre de 2021</w:t>
      </w:r>
      <w:r w:rsidRPr="00484467">
        <w:rPr>
          <w:lang w:val="es-MX"/>
        </w:rPr>
        <w:t xml:space="preserve"> las Cuentas por Cobrar </w:t>
      </w:r>
      <w:r>
        <w:rPr>
          <w:lang w:val="es-MX"/>
        </w:rPr>
        <w:t>se integran como sigue:</w:t>
      </w:r>
    </w:p>
    <w:p w14:paraId="7C117777" w14:textId="77777777" w:rsidR="00D16941" w:rsidRDefault="00D16941" w:rsidP="00D16941">
      <w:pPr>
        <w:pStyle w:val="TEXTONORMAL"/>
        <w:rPr>
          <w:lang w:val="es-MX"/>
        </w:rPr>
      </w:pPr>
    </w:p>
    <w:tbl>
      <w:tblPr>
        <w:tblW w:w="10020" w:type="dxa"/>
        <w:jc w:val="center"/>
        <w:tblCellMar>
          <w:left w:w="70" w:type="dxa"/>
          <w:right w:w="70" w:type="dxa"/>
        </w:tblCellMar>
        <w:tblLook w:val="04A0" w:firstRow="1" w:lastRow="0" w:firstColumn="1" w:lastColumn="0" w:noHBand="0" w:noVBand="1"/>
      </w:tblPr>
      <w:tblGrid>
        <w:gridCol w:w="5845"/>
        <w:gridCol w:w="2099"/>
        <w:gridCol w:w="2076"/>
      </w:tblGrid>
      <w:tr w:rsidR="006B7913" w:rsidRPr="006B7913" w14:paraId="0BCA1ABC" w14:textId="77777777" w:rsidTr="006B7913">
        <w:trPr>
          <w:trHeight w:val="264"/>
          <w:jc w:val="center"/>
        </w:trPr>
        <w:tc>
          <w:tcPr>
            <w:tcW w:w="5845"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45210019" w14:textId="77777777" w:rsidR="006B7913" w:rsidRPr="006B7913" w:rsidRDefault="006B7913" w:rsidP="006B7913">
            <w:pPr>
              <w:spacing w:after="0" w:line="240" w:lineRule="auto"/>
              <w:jc w:val="center"/>
              <w:rPr>
                <w:rFonts w:ascii="Montserrat" w:eastAsia="Times New Roman" w:hAnsi="Montserrat"/>
                <w:b/>
                <w:bCs/>
                <w:color w:val="FFFFFF"/>
                <w:sz w:val="16"/>
                <w:szCs w:val="16"/>
                <w:lang w:val="es-MX" w:eastAsia="es-MX"/>
              </w:rPr>
            </w:pPr>
            <w:r w:rsidRPr="006B7913">
              <w:rPr>
                <w:rFonts w:ascii="Montserrat" w:eastAsia="Times New Roman" w:hAnsi="Montserrat"/>
                <w:b/>
                <w:bCs/>
                <w:color w:val="FFFFFF"/>
                <w:sz w:val="16"/>
                <w:szCs w:val="16"/>
                <w:lang w:val="es-MX" w:eastAsia="es-MX"/>
              </w:rPr>
              <w:t>Concepto</w:t>
            </w:r>
          </w:p>
        </w:tc>
        <w:tc>
          <w:tcPr>
            <w:tcW w:w="417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E0DA044" w14:textId="77777777" w:rsidR="006B7913" w:rsidRPr="006B7913" w:rsidRDefault="006B7913" w:rsidP="006B7913">
            <w:pPr>
              <w:spacing w:after="0" w:line="240" w:lineRule="auto"/>
              <w:jc w:val="center"/>
              <w:rPr>
                <w:rFonts w:ascii="Montserrat" w:eastAsia="Times New Roman" w:hAnsi="Montserrat"/>
                <w:b/>
                <w:bCs/>
                <w:color w:val="FFFFFF"/>
                <w:sz w:val="16"/>
                <w:szCs w:val="16"/>
                <w:lang w:val="es-MX" w:eastAsia="es-MX"/>
              </w:rPr>
            </w:pPr>
            <w:r w:rsidRPr="006B7913">
              <w:rPr>
                <w:rFonts w:ascii="Montserrat" w:eastAsia="Times New Roman" w:hAnsi="Montserrat"/>
                <w:b/>
                <w:bCs/>
                <w:color w:val="FFFFFF"/>
                <w:sz w:val="16"/>
                <w:szCs w:val="16"/>
                <w:lang w:val="es-MX" w:eastAsia="es-MX"/>
              </w:rPr>
              <w:t>Cifras en pesos</w:t>
            </w:r>
          </w:p>
        </w:tc>
      </w:tr>
      <w:tr w:rsidR="006B7913" w:rsidRPr="006B7913" w14:paraId="3FCD7452" w14:textId="77777777" w:rsidTr="006B7913">
        <w:trPr>
          <w:trHeight w:val="264"/>
          <w:jc w:val="center"/>
        </w:trPr>
        <w:tc>
          <w:tcPr>
            <w:tcW w:w="5845" w:type="dxa"/>
            <w:vMerge/>
            <w:tcBorders>
              <w:top w:val="single" w:sz="12" w:space="0" w:color="808080"/>
              <w:left w:val="nil"/>
              <w:bottom w:val="double" w:sz="6" w:space="0" w:color="808080"/>
              <w:right w:val="single" w:sz="12" w:space="0" w:color="FFFFFF"/>
            </w:tcBorders>
            <w:vAlign w:val="center"/>
            <w:hideMark/>
          </w:tcPr>
          <w:p w14:paraId="63706374" w14:textId="77777777" w:rsidR="006B7913" w:rsidRPr="006B7913" w:rsidRDefault="006B7913" w:rsidP="006B7913">
            <w:pPr>
              <w:spacing w:after="0" w:line="240" w:lineRule="auto"/>
              <w:rPr>
                <w:rFonts w:ascii="Montserrat" w:eastAsia="Times New Roman" w:hAnsi="Montserrat"/>
                <w:b/>
                <w:bCs/>
                <w:color w:val="FFFFFF"/>
                <w:sz w:val="16"/>
                <w:szCs w:val="16"/>
                <w:lang w:val="es-MX" w:eastAsia="es-MX"/>
              </w:rPr>
            </w:pPr>
          </w:p>
        </w:tc>
        <w:tc>
          <w:tcPr>
            <w:tcW w:w="2099" w:type="dxa"/>
            <w:tcBorders>
              <w:top w:val="nil"/>
              <w:left w:val="nil"/>
              <w:bottom w:val="double" w:sz="6" w:space="0" w:color="808080"/>
              <w:right w:val="single" w:sz="12" w:space="0" w:color="FFFFFF"/>
            </w:tcBorders>
            <w:shd w:val="clear" w:color="000000" w:fill="D4C19C"/>
            <w:vAlign w:val="center"/>
            <w:hideMark/>
          </w:tcPr>
          <w:p w14:paraId="69A44C14" w14:textId="77777777" w:rsidR="006B7913" w:rsidRPr="006B7913" w:rsidRDefault="006B7913" w:rsidP="006B7913">
            <w:pPr>
              <w:spacing w:after="0" w:line="240" w:lineRule="auto"/>
              <w:jc w:val="center"/>
              <w:rPr>
                <w:rFonts w:ascii="Montserrat" w:eastAsia="Times New Roman" w:hAnsi="Montserrat"/>
                <w:b/>
                <w:bCs/>
                <w:color w:val="FFFFFF"/>
                <w:sz w:val="16"/>
                <w:szCs w:val="16"/>
                <w:lang w:val="es-MX" w:eastAsia="es-MX"/>
              </w:rPr>
            </w:pPr>
            <w:r w:rsidRPr="006B7913">
              <w:rPr>
                <w:rFonts w:ascii="Montserrat" w:eastAsia="Times New Roman" w:hAnsi="Montserrat"/>
                <w:b/>
                <w:bCs/>
                <w:color w:val="FFFFFF"/>
                <w:sz w:val="16"/>
                <w:szCs w:val="16"/>
                <w:lang w:val="es-MX" w:eastAsia="es-MX"/>
              </w:rPr>
              <w:t>2022</w:t>
            </w:r>
          </w:p>
        </w:tc>
        <w:tc>
          <w:tcPr>
            <w:tcW w:w="2076" w:type="dxa"/>
            <w:tcBorders>
              <w:top w:val="nil"/>
              <w:left w:val="nil"/>
              <w:bottom w:val="double" w:sz="6" w:space="0" w:color="808080"/>
              <w:right w:val="single" w:sz="12" w:space="0" w:color="FFFFFF"/>
            </w:tcBorders>
            <w:shd w:val="clear" w:color="000000" w:fill="D4C19C"/>
            <w:vAlign w:val="center"/>
            <w:hideMark/>
          </w:tcPr>
          <w:p w14:paraId="5F078D88" w14:textId="77777777" w:rsidR="006B7913" w:rsidRPr="006B7913" w:rsidRDefault="006B7913" w:rsidP="006B7913">
            <w:pPr>
              <w:spacing w:after="0" w:line="240" w:lineRule="auto"/>
              <w:jc w:val="center"/>
              <w:rPr>
                <w:rFonts w:ascii="Montserrat" w:eastAsia="Times New Roman" w:hAnsi="Montserrat"/>
                <w:b/>
                <w:bCs/>
                <w:color w:val="FFFFFF"/>
                <w:sz w:val="16"/>
                <w:szCs w:val="16"/>
                <w:lang w:val="es-MX" w:eastAsia="es-MX"/>
              </w:rPr>
            </w:pPr>
            <w:r w:rsidRPr="006B7913">
              <w:rPr>
                <w:rFonts w:ascii="Montserrat" w:eastAsia="Times New Roman" w:hAnsi="Montserrat"/>
                <w:b/>
                <w:bCs/>
                <w:color w:val="FFFFFF"/>
                <w:sz w:val="16"/>
                <w:szCs w:val="16"/>
                <w:lang w:val="es-MX" w:eastAsia="es-MX"/>
              </w:rPr>
              <w:t>2021</w:t>
            </w:r>
          </w:p>
        </w:tc>
      </w:tr>
      <w:tr w:rsidR="006B7913" w:rsidRPr="006B7913" w14:paraId="76D66680" w14:textId="77777777" w:rsidTr="006B7913">
        <w:trPr>
          <w:trHeight w:val="252"/>
          <w:jc w:val="center"/>
        </w:trPr>
        <w:tc>
          <w:tcPr>
            <w:tcW w:w="5845" w:type="dxa"/>
            <w:tcBorders>
              <w:top w:val="nil"/>
              <w:left w:val="nil"/>
              <w:bottom w:val="nil"/>
              <w:right w:val="nil"/>
            </w:tcBorders>
            <w:shd w:val="clear" w:color="000000" w:fill="F2F2F2"/>
            <w:vAlign w:val="center"/>
            <w:hideMark/>
          </w:tcPr>
          <w:p w14:paraId="47F4466E" w14:textId="77777777" w:rsidR="006B7913" w:rsidRPr="006B7913" w:rsidRDefault="006B7913" w:rsidP="006B7913">
            <w:pPr>
              <w:spacing w:after="0" w:line="240" w:lineRule="auto"/>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 xml:space="preserve">Gobierno Federal Pensiones  </w:t>
            </w:r>
          </w:p>
        </w:tc>
        <w:tc>
          <w:tcPr>
            <w:tcW w:w="2099" w:type="dxa"/>
            <w:tcBorders>
              <w:top w:val="nil"/>
              <w:left w:val="nil"/>
              <w:bottom w:val="nil"/>
              <w:right w:val="nil"/>
            </w:tcBorders>
            <w:shd w:val="clear" w:color="000000" w:fill="F2F2F2"/>
            <w:vAlign w:val="center"/>
            <w:hideMark/>
          </w:tcPr>
          <w:p w14:paraId="013EBF3C"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923,789,993.5</w:t>
            </w:r>
          </w:p>
        </w:tc>
        <w:tc>
          <w:tcPr>
            <w:tcW w:w="2076" w:type="dxa"/>
            <w:tcBorders>
              <w:top w:val="nil"/>
              <w:left w:val="nil"/>
              <w:bottom w:val="nil"/>
              <w:right w:val="nil"/>
            </w:tcBorders>
            <w:shd w:val="clear" w:color="000000" w:fill="F2F2F2"/>
            <w:vAlign w:val="center"/>
            <w:hideMark/>
          </w:tcPr>
          <w:p w14:paraId="5F3B0908"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923,789,993.5</w:t>
            </w:r>
          </w:p>
        </w:tc>
      </w:tr>
      <w:tr w:rsidR="006B7913" w:rsidRPr="006B7913" w14:paraId="0435DD05" w14:textId="77777777" w:rsidTr="006B7913">
        <w:trPr>
          <w:trHeight w:val="240"/>
          <w:jc w:val="center"/>
        </w:trPr>
        <w:tc>
          <w:tcPr>
            <w:tcW w:w="5845" w:type="dxa"/>
            <w:tcBorders>
              <w:top w:val="nil"/>
              <w:left w:val="nil"/>
              <w:bottom w:val="nil"/>
              <w:right w:val="nil"/>
            </w:tcBorders>
            <w:shd w:val="clear" w:color="000000" w:fill="F2F2F2"/>
            <w:vAlign w:val="center"/>
            <w:hideMark/>
          </w:tcPr>
          <w:p w14:paraId="1A2725B4" w14:textId="77777777" w:rsidR="006B7913" w:rsidRPr="006B7913" w:rsidRDefault="006B7913" w:rsidP="006B7913">
            <w:pPr>
              <w:spacing w:after="0" w:line="240" w:lineRule="auto"/>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 xml:space="preserve">Costos Operativos por la Administración de Pensiones </w:t>
            </w:r>
            <w:r w:rsidRPr="006B7913">
              <w:rPr>
                <w:rFonts w:ascii="Montserrat" w:eastAsia="Times New Roman" w:hAnsi="Montserrat"/>
                <w:b/>
                <w:bCs/>
                <w:color w:val="000000"/>
                <w:sz w:val="15"/>
                <w:szCs w:val="15"/>
                <w:lang w:val="es-MX" w:eastAsia="es-MX"/>
              </w:rPr>
              <w:t>(1.2.d.1)</w:t>
            </w:r>
          </w:p>
        </w:tc>
        <w:tc>
          <w:tcPr>
            <w:tcW w:w="2099" w:type="dxa"/>
            <w:tcBorders>
              <w:top w:val="nil"/>
              <w:left w:val="nil"/>
              <w:bottom w:val="nil"/>
              <w:right w:val="nil"/>
            </w:tcBorders>
            <w:shd w:val="clear" w:color="000000" w:fill="F2F2F2"/>
            <w:vAlign w:val="center"/>
            <w:hideMark/>
          </w:tcPr>
          <w:p w14:paraId="6ADE1EC3"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1,371,145,423.3</w:t>
            </w:r>
          </w:p>
        </w:tc>
        <w:tc>
          <w:tcPr>
            <w:tcW w:w="2076" w:type="dxa"/>
            <w:tcBorders>
              <w:top w:val="nil"/>
              <w:left w:val="nil"/>
              <w:bottom w:val="nil"/>
              <w:right w:val="nil"/>
            </w:tcBorders>
            <w:shd w:val="clear" w:color="000000" w:fill="F2F2F2"/>
            <w:vAlign w:val="center"/>
            <w:hideMark/>
          </w:tcPr>
          <w:p w14:paraId="664F1DC4"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732,183,257.3</w:t>
            </w:r>
          </w:p>
        </w:tc>
      </w:tr>
      <w:tr w:rsidR="006B7913" w:rsidRPr="006B7913" w14:paraId="52590384" w14:textId="77777777" w:rsidTr="006B7913">
        <w:trPr>
          <w:trHeight w:val="240"/>
          <w:jc w:val="center"/>
        </w:trPr>
        <w:tc>
          <w:tcPr>
            <w:tcW w:w="5845" w:type="dxa"/>
            <w:tcBorders>
              <w:top w:val="nil"/>
              <w:left w:val="nil"/>
              <w:bottom w:val="nil"/>
              <w:right w:val="nil"/>
            </w:tcBorders>
            <w:shd w:val="clear" w:color="000000" w:fill="F2F2F2"/>
            <w:vAlign w:val="center"/>
            <w:hideMark/>
          </w:tcPr>
          <w:p w14:paraId="216CC31D" w14:textId="77777777" w:rsidR="006B7913" w:rsidRPr="006B7913" w:rsidRDefault="006B7913" w:rsidP="006B7913">
            <w:pPr>
              <w:spacing w:after="0" w:line="240" w:lineRule="auto"/>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Otras Cuentas por Cobrar</w:t>
            </w:r>
          </w:p>
        </w:tc>
        <w:tc>
          <w:tcPr>
            <w:tcW w:w="2099" w:type="dxa"/>
            <w:tcBorders>
              <w:top w:val="nil"/>
              <w:left w:val="nil"/>
              <w:bottom w:val="nil"/>
              <w:right w:val="nil"/>
            </w:tcBorders>
            <w:shd w:val="clear" w:color="000000" w:fill="F2F2F2"/>
            <w:vAlign w:val="center"/>
            <w:hideMark/>
          </w:tcPr>
          <w:p w14:paraId="6485EF26"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36,889,230.6</w:t>
            </w:r>
          </w:p>
        </w:tc>
        <w:tc>
          <w:tcPr>
            <w:tcW w:w="2076" w:type="dxa"/>
            <w:tcBorders>
              <w:top w:val="nil"/>
              <w:left w:val="nil"/>
              <w:bottom w:val="nil"/>
              <w:right w:val="nil"/>
            </w:tcBorders>
            <w:shd w:val="clear" w:color="000000" w:fill="F2F2F2"/>
            <w:vAlign w:val="center"/>
            <w:hideMark/>
          </w:tcPr>
          <w:p w14:paraId="013466D1" w14:textId="77777777" w:rsidR="006B7913" w:rsidRPr="006B7913" w:rsidRDefault="006B7913" w:rsidP="006B7913">
            <w:pPr>
              <w:spacing w:after="0" w:line="240" w:lineRule="auto"/>
              <w:jc w:val="right"/>
              <w:rPr>
                <w:rFonts w:ascii="Montserrat" w:eastAsia="Times New Roman" w:hAnsi="Montserrat"/>
                <w:color w:val="000000"/>
                <w:sz w:val="15"/>
                <w:szCs w:val="15"/>
                <w:lang w:val="es-MX" w:eastAsia="es-MX"/>
              </w:rPr>
            </w:pPr>
            <w:r w:rsidRPr="006B7913">
              <w:rPr>
                <w:rFonts w:ascii="Montserrat" w:eastAsia="Times New Roman" w:hAnsi="Montserrat"/>
                <w:color w:val="000000"/>
                <w:sz w:val="15"/>
                <w:szCs w:val="15"/>
                <w:lang w:val="es-MX" w:eastAsia="es-MX"/>
              </w:rPr>
              <w:t>39,503,415.1</w:t>
            </w:r>
          </w:p>
        </w:tc>
      </w:tr>
      <w:tr w:rsidR="006B7913" w:rsidRPr="006B7913" w14:paraId="651E85E8" w14:textId="77777777" w:rsidTr="006B7913">
        <w:trPr>
          <w:trHeight w:val="252"/>
          <w:jc w:val="center"/>
        </w:trPr>
        <w:tc>
          <w:tcPr>
            <w:tcW w:w="5845" w:type="dxa"/>
            <w:tcBorders>
              <w:top w:val="nil"/>
              <w:left w:val="nil"/>
              <w:bottom w:val="single" w:sz="12" w:space="0" w:color="808080"/>
              <w:right w:val="nil"/>
            </w:tcBorders>
            <w:shd w:val="clear" w:color="000000" w:fill="F2F2F2"/>
            <w:vAlign w:val="center"/>
            <w:hideMark/>
          </w:tcPr>
          <w:p w14:paraId="3BE8C382" w14:textId="77777777" w:rsidR="006B7913" w:rsidRPr="006B7913" w:rsidRDefault="006B7913" w:rsidP="006B7913">
            <w:pPr>
              <w:spacing w:after="0" w:line="240" w:lineRule="auto"/>
              <w:rPr>
                <w:rFonts w:ascii="Montserrat" w:eastAsia="Times New Roman" w:hAnsi="Montserrat"/>
                <w:b/>
                <w:bCs/>
                <w:color w:val="000000"/>
                <w:sz w:val="15"/>
                <w:szCs w:val="15"/>
                <w:lang w:val="es-MX" w:eastAsia="es-MX"/>
              </w:rPr>
            </w:pPr>
            <w:r w:rsidRPr="006B7913">
              <w:rPr>
                <w:rFonts w:ascii="Montserrat" w:eastAsia="Times New Roman" w:hAnsi="Montserrat"/>
                <w:b/>
                <w:bCs/>
                <w:color w:val="000000"/>
                <w:sz w:val="15"/>
                <w:szCs w:val="15"/>
                <w:lang w:val="es-MX" w:eastAsia="es-MX"/>
              </w:rPr>
              <w:t>Total Cuentas por Cobrar</w:t>
            </w:r>
          </w:p>
        </w:tc>
        <w:tc>
          <w:tcPr>
            <w:tcW w:w="2099" w:type="dxa"/>
            <w:tcBorders>
              <w:top w:val="nil"/>
              <w:left w:val="nil"/>
              <w:bottom w:val="single" w:sz="12" w:space="0" w:color="808080"/>
              <w:right w:val="nil"/>
            </w:tcBorders>
            <w:shd w:val="clear" w:color="000000" w:fill="F2F2F2"/>
            <w:vAlign w:val="center"/>
            <w:hideMark/>
          </w:tcPr>
          <w:p w14:paraId="6BA12E63" w14:textId="77777777" w:rsidR="006B7913" w:rsidRPr="006B7913" w:rsidRDefault="006B7913" w:rsidP="006B7913">
            <w:pPr>
              <w:spacing w:after="0" w:line="240" w:lineRule="auto"/>
              <w:jc w:val="right"/>
              <w:rPr>
                <w:rFonts w:ascii="Montserrat" w:eastAsia="Times New Roman" w:hAnsi="Montserrat"/>
                <w:b/>
                <w:bCs/>
                <w:color w:val="000000"/>
                <w:sz w:val="15"/>
                <w:szCs w:val="15"/>
                <w:lang w:val="es-MX" w:eastAsia="es-MX"/>
              </w:rPr>
            </w:pPr>
            <w:r w:rsidRPr="006B7913">
              <w:rPr>
                <w:rFonts w:ascii="Montserrat" w:eastAsia="Times New Roman" w:hAnsi="Montserrat"/>
                <w:b/>
                <w:bCs/>
                <w:color w:val="000000"/>
                <w:sz w:val="15"/>
                <w:szCs w:val="15"/>
                <w:lang w:val="es-MX" w:eastAsia="es-MX"/>
              </w:rPr>
              <w:t>2,331,824,647.</w:t>
            </w:r>
            <w:r w:rsidR="00162AE5">
              <w:rPr>
                <w:rFonts w:ascii="Montserrat" w:eastAsia="Times New Roman" w:hAnsi="Montserrat"/>
                <w:b/>
                <w:bCs/>
                <w:color w:val="000000"/>
                <w:sz w:val="15"/>
                <w:szCs w:val="15"/>
                <w:lang w:val="es-MX" w:eastAsia="es-MX"/>
              </w:rPr>
              <w:t>4</w:t>
            </w:r>
          </w:p>
        </w:tc>
        <w:tc>
          <w:tcPr>
            <w:tcW w:w="2076" w:type="dxa"/>
            <w:tcBorders>
              <w:top w:val="nil"/>
              <w:left w:val="nil"/>
              <w:bottom w:val="single" w:sz="12" w:space="0" w:color="808080"/>
              <w:right w:val="nil"/>
            </w:tcBorders>
            <w:shd w:val="clear" w:color="000000" w:fill="F2F2F2"/>
            <w:vAlign w:val="center"/>
            <w:hideMark/>
          </w:tcPr>
          <w:p w14:paraId="217D75D7" w14:textId="77777777" w:rsidR="006B7913" w:rsidRPr="006B7913" w:rsidRDefault="006B7913" w:rsidP="006B7913">
            <w:pPr>
              <w:spacing w:after="0" w:line="240" w:lineRule="auto"/>
              <w:jc w:val="right"/>
              <w:rPr>
                <w:rFonts w:ascii="Montserrat" w:eastAsia="Times New Roman" w:hAnsi="Montserrat"/>
                <w:b/>
                <w:bCs/>
                <w:color w:val="000000"/>
                <w:sz w:val="15"/>
                <w:szCs w:val="15"/>
                <w:lang w:val="es-MX" w:eastAsia="es-MX"/>
              </w:rPr>
            </w:pPr>
            <w:r w:rsidRPr="006B7913">
              <w:rPr>
                <w:rFonts w:ascii="Montserrat" w:eastAsia="Times New Roman" w:hAnsi="Montserrat"/>
                <w:b/>
                <w:bCs/>
                <w:color w:val="000000"/>
                <w:sz w:val="15"/>
                <w:szCs w:val="15"/>
                <w:lang w:val="es-MX" w:eastAsia="es-MX"/>
              </w:rPr>
              <w:t>1,695,476,665.9</w:t>
            </w:r>
          </w:p>
        </w:tc>
      </w:tr>
    </w:tbl>
    <w:p w14:paraId="5F03F616" w14:textId="77777777" w:rsidR="009D5C48" w:rsidRDefault="009D5C48" w:rsidP="00620DFB">
      <w:pPr>
        <w:pStyle w:val="TEXTONORMAL"/>
        <w:spacing w:after="0" w:line="240" w:lineRule="exact"/>
        <w:rPr>
          <w:lang w:val="es-MX"/>
        </w:rPr>
      </w:pPr>
    </w:p>
    <w:p w14:paraId="36049DE8" w14:textId="77777777" w:rsidR="00393450" w:rsidRDefault="00393450" w:rsidP="00620DFB">
      <w:pPr>
        <w:pStyle w:val="TEXTONORMAL"/>
        <w:spacing w:after="0" w:line="240" w:lineRule="exact"/>
        <w:rPr>
          <w:lang w:val="es-MX"/>
        </w:rPr>
      </w:pPr>
    </w:p>
    <w:p w14:paraId="6A2AA70B" w14:textId="77777777" w:rsidR="009D5C48" w:rsidRPr="00A2504E" w:rsidRDefault="009D5C48" w:rsidP="003F2A12">
      <w:pPr>
        <w:numPr>
          <w:ilvl w:val="0"/>
          <w:numId w:val="16"/>
        </w:numPr>
        <w:spacing w:after="120" w:line="250" w:lineRule="exact"/>
        <w:ind w:left="998" w:hanging="284"/>
        <w:jc w:val="both"/>
        <w:rPr>
          <w:rFonts w:ascii="Montserrat" w:hAnsi="Montserrat"/>
          <w:sz w:val="18"/>
          <w:szCs w:val="18"/>
        </w:rPr>
      </w:pPr>
      <w:r w:rsidRPr="00A2504E">
        <w:rPr>
          <w:rFonts w:ascii="Montserrat" w:hAnsi="Montserrat"/>
          <w:b/>
          <w:sz w:val="18"/>
          <w:szCs w:val="18"/>
          <w:lang w:val="es-MX"/>
        </w:rPr>
        <w:t>1.2.d.</w:t>
      </w:r>
      <w:r w:rsidR="00A2504E" w:rsidRPr="00A2504E">
        <w:rPr>
          <w:rFonts w:ascii="Montserrat" w:hAnsi="Montserrat"/>
          <w:b/>
          <w:sz w:val="18"/>
          <w:szCs w:val="18"/>
          <w:lang w:val="es-MX"/>
        </w:rPr>
        <w:t>1</w:t>
      </w:r>
      <w:r w:rsidRPr="00A2504E">
        <w:rPr>
          <w:rFonts w:ascii="Montserrat" w:hAnsi="Montserrat"/>
          <w:b/>
          <w:sz w:val="18"/>
          <w:szCs w:val="18"/>
        </w:rPr>
        <w:t>)</w:t>
      </w:r>
      <w:r w:rsidRPr="00A2504E">
        <w:rPr>
          <w:rFonts w:ascii="Montserrat" w:hAnsi="Montserrat"/>
          <w:sz w:val="18"/>
          <w:szCs w:val="18"/>
        </w:rPr>
        <w:t xml:space="preserve"> </w:t>
      </w:r>
      <w:r w:rsidR="006B7913">
        <w:rPr>
          <w:rFonts w:ascii="Montserrat" w:hAnsi="Montserrat"/>
          <w:sz w:val="18"/>
          <w:szCs w:val="18"/>
        </w:rPr>
        <w:t>Al 30 de septiembre</w:t>
      </w:r>
      <w:r w:rsidR="00F036B7" w:rsidRPr="00A2504E">
        <w:rPr>
          <w:rFonts w:ascii="Montserrat" w:hAnsi="Montserrat"/>
          <w:sz w:val="18"/>
          <w:szCs w:val="18"/>
        </w:rPr>
        <w:t xml:space="preserve"> de 2022 y </w:t>
      </w:r>
      <w:r w:rsidR="0003007F" w:rsidRPr="00A2504E">
        <w:rPr>
          <w:rFonts w:ascii="Montserrat" w:hAnsi="Montserrat"/>
          <w:sz w:val="18"/>
          <w:szCs w:val="18"/>
        </w:rPr>
        <w:t xml:space="preserve">al </w:t>
      </w:r>
      <w:r w:rsidR="00F036B7" w:rsidRPr="00A2504E">
        <w:rPr>
          <w:rFonts w:ascii="Montserrat" w:hAnsi="Montserrat"/>
          <w:sz w:val="18"/>
          <w:szCs w:val="18"/>
        </w:rPr>
        <w:t>31 de diciembre de 2021</w:t>
      </w:r>
      <w:r w:rsidRPr="00A2504E">
        <w:rPr>
          <w:rFonts w:ascii="Montserrat" w:hAnsi="Montserrat"/>
          <w:sz w:val="18"/>
          <w:szCs w:val="18"/>
        </w:rPr>
        <w:t>, el Instituto pre</w:t>
      </w:r>
      <w:r w:rsidR="003417D9" w:rsidRPr="00A2504E">
        <w:rPr>
          <w:rFonts w:ascii="Montserrat" w:hAnsi="Montserrat"/>
          <w:sz w:val="18"/>
          <w:szCs w:val="18"/>
        </w:rPr>
        <w:t xml:space="preserve">senta cuentas por cobrar por </w:t>
      </w:r>
      <w:r w:rsidR="006B7913">
        <w:rPr>
          <w:rFonts w:ascii="Montserrat" w:hAnsi="Montserrat"/>
          <w:sz w:val="18"/>
          <w:szCs w:val="18"/>
        </w:rPr>
        <w:t>1,371,145,423.3</w:t>
      </w:r>
      <w:r w:rsidRPr="00A2504E">
        <w:rPr>
          <w:rFonts w:ascii="Montserrat" w:hAnsi="Montserrat"/>
          <w:sz w:val="18"/>
          <w:szCs w:val="18"/>
        </w:rPr>
        <w:t xml:space="preserve"> pesos y </w:t>
      </w:r>
      <w:r w:rsidR="003417D9" w:rsidRPr="00A2504E">
        <w:rPr>
          <w:rFonts w:ascii="Montserrat" w:hAnsi="Montserrat"/>
          <w:sz w:val="18"/>
          <w:szCs w:val="18"/>
        </w:rPr>
        <w:t xml:space="preserve">732,183,257.3 </w:t>
      </w:r>
      <w:r w:rsidRPr="00A2504E">
        <w:rPr>
          <w:rFonts w:ascii="Montserrat" w:hAnsi="Montserrat"/>
          <w:sz w:val="18"/>
          <w:szCs w:val="18"/>
        </w:rPr>
        <w:t>pesos, respectivamente, correspondiente a los costos operativos por la administración de pensiones, conforme a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r w:rsidR="00A2504E">
        <w:rPr>
          <w:rFonts w:ascii="Montserrat" w:hAnsi="Montserrat"/>
          <w:sz w:val="18"/>
          <w:szCs w:val="18"/>
        </w:rPr>
        <w:t>).</w:t>
      </w:r>
    </w:p>
    <w:p w14:paraId="01574211" w14:textId="77777777" w:rsidR="001614B3" w:rsidRPr="00E87722" w:rsidRDefault="001614B3" w:rsidP="001614B3">
      <w:pPr>
        <w:spacing w:after="120" w:line="250" w:lineRule="exact"/>
        <w:jc w:val="both"/>
        <w:rPr>
          <w:rFonts w:ascii="Montserrat" w:hAnsi="Montserrat"/>
          <w:sz w:val="18"/>
          <w:szCs w:val="18"/>
        </w:rPr>
      </w:pPr>
    </w:p>
    <w:p w14:paraId="0B8E3D54" w14:textId="77777777" w:rsidR="009D5C48" w:rsidRPr="00120C31" w:rsidRDefault="005E70D6" w:rsidP="003F2A12">
      <w:pPr>
        <w:pStyle w:val="VIETAFLECHA"/>
        <w:numPr>
          <w:ilvl w:val="1"/>
          <w:numId w:val="11"/>
        </w:numPr>
        <w:ind w:left="357" w:hanging="357"/>
      </w:pPr>
      <w:r w:rsidRPr="008142BE">
        <w:rPr>
          <w:b/>
        </w:rPr>
        <w:t>1.3</w:t>
      </w:r>
      <w:r>
        <w:t xml:space="preserve"> </w:t>
      </w:r>
      <w:r w:rsidR="009D5C48" w:rsidRPr="00120C31">
        <w:t>Derechos a Recibir Bienes o Servicios</w:t>
      </w:r>
    </w:p>
    <w:p w14:paraId="6AD36700" w14:textId="77777777" w:rsidR="009D5C48" w:rsidRDefault="00B11415" w:rsidP="005725BA">
      <w:pPr>
        <w:pStyle w:val="TEXTONORMAL"/>
        <w:rPr>
          <w:lang w:val="es-MX"/>
        </w:rPr>
      </w:pPr>
      <w:r>
        <w:t>Al 30 de septiembre</w:t>
      </w:r>
      <w:r w:rsidR="00F036B7">
        <w:t xml:space="preserve"> de 2022</w:t>
      </w:r>
      <w:r w:rsidR="00F036B7" w:rsidRPr="000B2CE4">
        <w:t xml:space="preserve"> y </w:t>
      </w:r>
      <w:r w:rsidR="003417D9">
        <w:t xml:space="preserve">al </w:t>
      </w:r>
      <w:r w:rsidR="00F036B7">
        <w:t>31 de diciembre de 2021</w:t>
      </w:r>
      <w:r w:rsidR="009D5C48" w:rsidRPr="00410B9E">
        <w:rPr>
          <w:lang w:val="es-MX"/>
        </w:rPr>
        <w:t>, el rubro de Derechos a Recibir Bienes o Servicios se integra de la siguiente manera:</w:t>
      </w:r>
    </w:p>
    <w:p w14:paraId="4B236C23" w14:textId="77777777" w:rsidR="009D5C48" w:rsidRDefault="009D5C48" w:rsidP="009D5C48">
      <w:pPr>
        <w:pStyle w:val="TEXTONORMAL"/>
        <w:rPr>
          <w:lang w:val="es-MX"/>
        </w:rPr>
      </w:pPr>
    </w:p>
    <w:tbl>
      <w:tblPr>
        <w:tblW w:w="10501" w:type="dxa"/>
        <w:jc w:val="center"/>
        <w:tblCellMar>
          <w:left w:w="70" w:type="dxa"/>
          <w:right w:w="70" w:type="dxa"/>
        </w:tblCellMar>
        <w:tblLook w:val="04A0" w:firstRow="1" w:lastRow="0" w:firstColumn="1" w:lastColumn="0" w:noHBand="0" w:noVBand="1"/>
      </w:tblPr>
      <w:tblGrid>
        <w:gridCol w:w="6125"/>
        <w:gridCol w:w="2200"/>
        <w:gridCol w:w="2176"/>
      </w:tblGrid>
      <w:tr w:rsidR="00F7500F" w:rsidRPr="00F7500F" w14:paraId="65D81318" w14:textId="77777777" w:rsidTr="00F7500F">
        <w:trPr>
          <w:trHeight w:val="259"/>
          <w:jc w:val="center"/>
        </w:trPr>
        <w:tc>
          <w:tcPr>
            <w:tcW w:w="6125"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28F869FC" w14:textId="77777777" w:rsidR="00F7500F" w:rsidRPr="00F7500F" w:rsidRDefault="00F7500F" w:rsidP="00F7500F">
            <w:pPr>
              <w:spacing w:after="0" w:line="240" w:lineRule="auto"/>
              <w:jc w:val="center"/>
              <w:rPr>
                <w:rFonts w:ascii="Montserrat" w:eastAsia="Times New Roman" w:hAnsi="Montserrat"/>
                <w:b/>
                <w:bCs/>
                <w:color w:val="FFFFFF"/>
                <w:sz w:val="16"/>
                <w:szCs w:val="16"/>
                <w:lang w:val="es-MX" w:eastAsia="es-MX"/>
              </w:rPr>
            </w:pPr>
            <w:r w:rsidRPr="00F7500F">
              <w:rPr>
                <w:rFonts w:ascii="Montserrat" w:eastAsia="Times New Roman" w:hAnsi="Montserrat"/>
                <w:b/>
                <w:bCs/>
                <w:color w:val="FFFFFF"/>
                <w:sz w:val="16"/>
                <w:szCs w:val="16"/>
                <w:lang w:val="es-MX" w:eastAsia="es-MX"/>
              </w:rPr>
              <w:t>Concepto</w:t>
            </w:r>
          </w:p>
        </w:tc>
        <w:tc>
          <w:tcPr>
            <w:tcW w:w="437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D06B845" w14:textId="77777777" w:rsidR="00F7500F" w:rsidRPr="00F7500F" w:rsidRDefault="00F7500F" w:rsidP="00F7500F">
            <w:pPr>
              <w:spacing w:after="0" w:line="240" w:lineRule="auto"/>
              <w:jc w:val="center"/>
              <w:rPr>
                <w:rFonts w:ascii="Montserrat" w:eastAsia="Times New Roman" w:hAnsi="Montserrat"/>
                <w:b/>
                <w:bCs/>
                <w:color w:val="FFFFFF"/>
                <w:sz w:val="16"/>
                <w:szCs w:val="16"/>
                <w:lang w:val="es-MX" w:eastAsia="es-MX"/>
              </w:rPr>
            </w:pPr>
            <w:r w:rsidRPr="00F7500F">
              <w:rPr>
                <w:rFonts w:ascii="Montserrat" w:eastAsia="Times New Roman" w:hAnsi="Montserrat"/>
                <w:b/>
                <w:bCs/>
                <w:color w:val="FFFFFF"/>
                <w:sz w:val="16"/>
                <w:szCs w:val="16"/>
                <w:lang w:val="es-MX" w:eastAsia="es-MX"/>
              </w:rPr>
              <w:t>Cifras en pesos</w:t>
            </w:r>
          </w:p>
        </w:tc>
      </w:tr>
      <w:tr w:rsidR="00F7500F" w:rsidRPr="00F7500F" w14:paraId="07BB564B" w14:textId="77777777" w:rsidTr="00F7500F">
        <w:trPr>
          <w:trHeight w:val="259"/>
          <w:jc w:val="center"/>
        </w:trPr>
        <w:tc>
          <w:tcPr>
            <w:tcW w:w="6125" w:type="dxa"/>
            <w:vMerge/>
            <w:tcBorders>
              <w:top w:val="single" w:sz="12" w:space="0" w:color="808080"/>
              <w:left w:val="nil"/>
              <w:bottom w:val="double" w:sz="6" w:space="0" w:color="808080"/>
              <w:right w:val="single" w:sz="12" w:space="0" w:color="FFFFFF"/>
            </w:tcBorders>
            <w:vAlign w:val="center"/>
            <w:hideMark/>
          </w:tcPr>
          <w:p w14:paraId="2D616C5E" w14:textId="77777777" w:rsidR="00F7500F" w:rsidRPr="00F7500F" w:rsidRDefault="00F7500F" w:rsidP="00F7500F">
            <w:pPr>
              <w:spacing w:after="0" w:line="240" w:lineRule="auto"/>
              <w:rPr>
                <w:rFonts w:ascii="Montserrat" w:eastAsia="Times New Roman" w:hAnsi="Montserrat"/>
                <w:b/>
                <w:bCs/>
                <w:color w:val="FFFFFF"/>
                <w:sz w:val="16"/>
                <w:szCs w:val="16"/>
                <w:lang w:val="es-MX" w:eastAsia="es-MX"/>
              </w:rPr>
            </w:pPr>
          </w:p>
        </w:tc>
        <w:tc>
          <w:tcPr>
            <w:tcW w:w="2200" w:type="dxa"/>
            <w:tcBorders>
              <w:top w:val="nil"/>
              <w:left w:val="nil"/>
              <w:bottom w:val="double" w:sz="6" w:space="0" w:color="808080"/>
              <w:right w:val="single" w:sz="12" w:space="0" w:color="FFFFFF"/>
            </w:tcBorders>
            <w:shd w:val="clear" w:color="000000" w:fill="D4C19C"/>
            <w:vAlign w:val="center"/>
            <w:hideMark/>
          </w:tcPr>
          <w:p w14:paraId="0D87142A" w14:textId="77777777" w:rsidR="00F7500F" w:rsidRPr="00F7500F" w:rsidRDefault="00F7500F" w:rsidP="00F7500F">
            <w:pPr>
              <w:spacing w:after="0" w:line="240" w:lineRule="auto"/>
              <w:jc w:val="center"/>
              <w:rPr>
                <w:rFonts w:ascii="Montserrat" w:eastAsia="Times New Roman" w:hAnsi="Montserrat"/>
                <w:b/>
                <w:bCs/>
                <w:color w:val="FFFFFF"/>
                <w:sz w:val="16"/>
                <w:szCs w:val="16"/>
                <w:lang w:val="es-MX" w:eastAsia="es-MX"/>
              </w:rPr>
            </w:pPr>
            <w:r w:rsidRPr="00F7500F">
              <w:rPr>
                <w:rFonts w:ascii="Montserrat" w:eastAsia="Times New Roman" w:hAnsi="Montserrat"/>
                <w:b/>
                <w:bCs/>
                <w:color w:val="FFFFFF"/>
                <w:sz w:val="16"/>
                <w:szCs w:val="16"/>
                <w:lang w:val="es-MX" w:eastAsia="es-MX"/>
              </w:rPr>
              <w:t>2022</w:t>
            </w:r>
          </w:p>
        </w:tc>
        <w:tc>
          <w:tcPr>
            <w:tcW w:w="2176" w:type="dxa"/>
            <w:tcBorders>
              <w:top w:val="nil"/>
              <w:left w:val="nil"/>
              <w:bottom w:val="double" w:sz="6" w:space="0" w:color="808080"/>
              <w:right w:val="single" w:sz="12" w:space="0" w:color="FFFFFF"/>
            </w:tcBorders>
            <w:shd w:val="clear" w:color="000000" w:fill="D4C19C"/>
            <w:vAlign w:val="center"/>
            <w:hideMark/>
          </w:tcPr>
          <w:p w14:paraId="121D43B6" w14:textId="77777777" w:rsidR="00F7500F" w:rsidRPr="00F7500F" w:rsidRDefault="00F7500F" w:rsidP="00F7500F">
            <w:pPr>
              <w:spacing w:after="0" w:line="240" w:lineRule="auto"/>
              <w:jc w:val="center"/>
              <w:rPr>
                <w:rFonts w:ascii="Montserrat" w:eastAsia="Times New Roman" w:hAnsi="Montserrat"/>
                <w:b/>
                <w:bCs/>
                <w:color w:val="FFFFFF"/>
                <w:sz w:val="16"/>
                <w:szCs w:val="16"/>
                <w:lang w:val="es-MX" w:eastAsia="es-MX"/>
              </w:rPr>
            </w:pPr>
            <w:r w:rsidRPr="00F7500F">
              <w:rPr>
                <w:rFonts w:ascii="Montserrat" w:eastAsia="Times New Roman" w:hAnsi="Montserrat"/>
                <w:b/>
                <w:bCs/>
                <w:color w:val="FFFFFF"/>
                <w:sz w:val="16"/>
                <w:szCs w:val="16"/>
                <w:lang w:val="es-MX" w:eastAsia="es-MX"/>
              </w:rPr>
              <w:t>2021</w:t>
            </w:r>
          </w:p>
        </w:tc>
      </w:tr>
      <w:tr w:rsidR="00F7500F" w:rsidRPr="00F7500F" w14:paraId="646E32D5" w14:textId="77777777" w:rsidTr="00F7500F">
        <w:trPr>
          <w:trHeight w:val="247"/>
          <w:jc w:val="center"/>
        </w:trPr>
        <w:tc>
          <w:tcPr>
            <w:tcW w:w="6125" w:type="dxa"/>
            <w:tcBorders>
              <w:top w:val="nil"/>
              <w:left w:val="nil"/>
              <w:bottom w:val="nil"/>
              <w:right w:val="nil"/>
            </w:tcBorders>
            <w:shd w:val="clear" w:color="000000" w:fill="F2F2F2"/>
            <w:vAlign w:val="center"/>
            <w:hideMark/>
          </w:tcPr>
          <w:p w14:paraId="38EA1F10" w14:textId="77777777" w:rsidR="00F7500F" w:rsidRPr="00F7500F" w:rsidRDefault="00F7500F" w:rsidP="00F7500F">
            <w:pPr>
              <w:spacing w:after="0" w:line="240" w:lineRule="auto"/>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INSABI</w:t>
            </w:r>
            <w:r w:rsidRPr="00F7500F">
              <w:rPr>
                <w:rFonts w:ascii="Montserrat" w:eastAsia="Times New Roman" w:hAnsi="Montserrat"/>
                <w:b/>
                <w:bCs/>
                <w:color w:val="000000"/>
                <w:sz w:val="15"/>
                <w:szCs w:val="15"/>
                <w:lang w:val="es-MX" w:eastAsia="es-MX"/>
              </w:rPr>
              <w:t xml:space="preserve"> (1.3.a)</w:t>
            </w:r>
          </w:p>
        </w:tc>
        <w:tc>
          <w:tcPr>
            <w:tcW w:w="2200" w:type="dxa"/>
            <w:tcBorders>
              <w:top w:val="nil"/>
              <w:left w:val="nil"/>
              <w:bottom w:val="nil"/>
              <w:right w:val="nil"/>
            </w:tcBorders>
            <w:shd w:val="clear" w:color="000000" w:fill="F2F2F2"/>
            <w:vAlign w:val="center"/>
            <w:hideMark/>
          </w:tcPr>
          <w:p w14:paraId="08B67BE9"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1,796,732,163.9</w:t>
            </w:r>
          </w:p>
        </w:tc>
        <w:tc>
          <w:tcPr>
            <w:tcW w:w="2176" w:type="dxa"/>
            <w:tcBorders>
              <w:top w:val="nil"/>
              <w:left w:val="nil"/>
              <w:bottom w:val="nil"/>
              <w:right w:val="nil"/>
            </w:tcBorders>
            <w:shd w:val="clear" w:color="000000" w:fill="F2F2F2"/>
            <w:vAlign w:val="center"/>
            <w:hideMark/>
          </w:tcPr>
          <w:p w14:paraId="5BBC5DFA"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10,400,079,984.1</w:t>
            </w:r>
          </w:p>
        </w:tc>
      </w:tr>
      <w:tr w:rsidR="00F7500F" w:rsidRPr="00F7500F" w14:paraId="7F47CC85" w14:textId="77777777" w:rsidTr="00F7500F">
        <w:trPr>
          <w:trHeight w:val="236"/>
          <w:jc w:val="center"/>
        </w:trPr>
        <w:tc>
          <w:tcPr>
            <w:tcW w:w="6125" w:type="dxa"/>
            <w:tcBorders>
              <w:top w:val="nil"/>
              <w:left w:val="nil"/>
              <w:bottom w:val="nil"/>
              <w:right w:val="nil"/>
            </w:tcBorders>
            <w:shd w:val="clear" w:color="000000" w:fill="F2F2F2"/>
            <w:vAlign w:val="center"/>
            <w:hideMark/>
          </w:tcPr>
          <w:p w14:paraId="72A10E9C" w14:textId="77777777" w:rsidR="00F7500F" w:rsidRPr="00F7500F" w:rsidRDefault="00F7500F" w:rsidP="00F7500F">
            <w:pPr>
              <w:spacing w:after="0" w:line="240" w:lineRule="auto"/>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 xml:space="preserve">Anticipos sobre Construcciones </w:t>
            </w:r>
            <w:r w:rsidRPr="00F7500F">
              <w:rPr>
                <w:rFonts w:ascii="Montserrat" w:eastAsia="Times New Roman" w:hAnsi="Montserrat"/>
                <w:b/>
                <w:bCs/>
                <w:color w:val="000000"/>
                <w:sz w:val="15"/>
                <w:szCs w:val="15"/>
                <w:lang w:val="es-MX" w:eastAsia="es-MX"/>
              </w:rPr>
              <w:t>(1.3.b)</w:t>
            </w:r>
          </w:p>
        </w:tc>
        <w:tc>
          <w:tcPr>
            <w:tcW w:w="2200" w:type="dxa"/>
            <w:tcBorders>
              <w:top w:val="nil"/>
              <w:left w:val="nil"/>
              <w:bottom w:val="nil"/>
              <w:right w:val="nil"/>
            </w:tcBorders>
            <w:shd w:val="clear" w:color="000000" w:fill="F2F2F2"/>
            <w:vAlign w:val="center"/>
            <w:hideMark/>
          </w:tcPr>
          <w:p w14:paraId="27BA72D4"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499,978,178.1</w:t>
            </w:r>
          </w:p>
        </w:tc>
        <w:tc>
          <w:tcPr>
            <w:tcW w:w="2176" w:type="dxa"/>
            <w:tcBorders>
              <w:top w:val="nil"/>
              <w:left w:val="nil"/>
              <w:bottom w:val="nil"/>
              <w:right w:val="nil"/>
            </w:tcBorders>
            <w:shd w:val="clear" w:color="000000" w:fill="F2F2F2"/>
            <w:vAlign w:val="center"/>
            <w:hideMark/>
          </w:tcPr>
          <w:p w14:paraId="36D4081B"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497,032,510.9</w:t>
            </w:r>
          </w:p>
        </w:tc>
      </w:tr>
      <w:tr w:rsidR="00F7500F" w:rsidRPr="00F7500F" w14:paraId="104AD41F" w14:textId="77777777" w:rsidTr="00F7500F">
        <w:trPr>
          <w:trHeight w:val="236"/>
          <w:jc w:val="center"/>
        </w:trPr>
        <w:tc>
          <w:tcPr>
            <w:tcW w:w="6125" w:type="dxa"/>
            <w:tcBorders>
              <w:top w:val="nil"/>
              <w:left w:val="nil"/>
              <w:bottom w:val="nil"/>
              <w:right w:val="nil"/>
            </w:tcBorders>
            <w:shd w:val="clear" w:color="000000" w:fill="F2F2F2"/>
            <w:vAlign w:val="center"/>
            <w:hideMark/>
          </w:tcPr>
          <w:p w14:paraId="007E0CEC" w14:textId="77777777" w:rsidR="00F7500F" w:rsidRPr="00F7500F" w:rsidRDefault="00F7500F" w:rsidP="00F7500F">
            <w:pPr>
              <w:spacing w:after="0" w:line="240" w:lineRule="auto"/>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 xml:space="preserve">Otros Anticipos </w:t>
            </w:r>
            <w:r w:rsidRPr="00F7500F">
              <w:rPr>
                <w:rFonts w:ascii="Montserrat" w:eastAsia="Times New Roman" w:hAnsi="Montserrat"/>
                <w:b/>
                <w:bCs/>
                <w:color w:val="000000"/>
                <w:sz w:val="15"/>
                <w:szCs w:val="15"/>
                <w:lang w:val="es-MX" w:eastAsia="es-MX"/>
              </w:rPr>
              <w:t>(1.3.c)</w:t>
            </w:r>
          </w:p>
        </w:tc>
        <w:tc>
          <w:tcPr>
            <w:tcW w:w="2200" w:type="dxa"/>
            <w:tcBorders>
              <w:top w:val="nil"/>
              <w:left w:val="nil"/>
              <w:bottom w:val="nil"/>
              <w:right w:val="nil"/>
            </w:tcBorders>
            <w:shd w:val="clear" w:color="000000" w:fill="F2F2F2"/>
            <w:vAlign w:val="center"/>
            <w:hideMark/>
          </w:tcPr>
          <w:p w14:paraId="7EC25DEC"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71,072,727.0</w:t>
            </w:r>
          </w:p>
        </w:tc>
        <w:tc>
          <w:tcPr>
            <w:tcW w:w="2176" w:type="dxa"/>
            <w:tcBorders>
              <w:top w:val="nil"/>
              <w:left w:val="nil"/>
              <w:bottom w:val="nil"/>
              <w:right w:val="nil"/>
            </w:tcBorders>
            <w:shd w:val="clear" w:color="000000" w:fill="F2F2F2"/>
            <w:vAlign w:val="center"/>
            <w:hideMark/>
          </w:tcPr>
          <w:p w14:paraId="019A1CAD" w14:textId="77777777" w:rsidR="00F7500F" w:rsidRPr="00F7500F" w:rsidRDefault="00F7500F" w:rsidP="00F7500F">
            <w:pPr>
              <w:spacing w:after="0" w:line="240" w:lineRule="auto"/>
              <w:jc w:val="right"/>
              <w:rPr>
                <w:rFonts w:ascii="Montserrat" w:eastAsia="Times New Roman" w:hAnsi="Montserrat"/>
                <w:color w:val="000000"/>
                <w:sz w:val="15"/>
                <w:szCs w:val="15"/>
                <w:lang w:val="es-MX" w:eastAsia="es-MX"/>
              </w:rPr>
            </w:pPr>
            <w:r w:rsidRPr="00F7500F">
              <w:rPr>
                <w:rFonts w:ascii="Montserrat" w:eastAsia="Times New Roman" w:hAnsi="Montserrat"/>
                <w:color w:val="000000"/>
                <w:sz w:val="15"/>
                <w:szCs w:val="15"/>
                <w:lang w:val="es-MX" w:eastAsia="es-MX"/>
              </w:rPr>
              <w:t>71,072,727.5</w:t>
            </w:r>
          </w:p>
        </w:tc>
      </w:tr>
      <w:tr w:rsidR="00F7500F" w:rsidRPr="00F7500F" w14:paraId="520A8003" w14:textId="77777777" w:rsidTr="00F7500F">
        <w:trPr>
          <w:trHeight w:val="247"/>
          <w:jc w:val="center"/>
        </w:trPr>
        <w:tc>
          <w:tcPr>
            <w:tcW w:w="6125" w:type="dxa"/>
            <w:tcBorders>
              <w:top w:val="nil"/>
              <w:left w:val="nil"/>
              <w:bottom w:val="single" w:sz="12" w:space="0" w:color="808080"/>
              <w:right w:val="nil"/>
            </w:tcBorders>
            <w:shd w:val="clear" w:color="000000" w:fill="F2F2F2"/>
            <w:vAlign w:val="center"/>
            <w:hideMark/>
          </w:tcPr>
          <w:p w14:paraId="21B85061" w14:textId="77777777" w:rsidR="00F7500F" w:rsidRPr="00F7500F" w:rsidRDefault="00F7500F" w:rsidP="00F7500F">
            <w:pPr>
              <w:spacing w:after="0" w:line="240" w:lineRule="auto"/>
              <w:rPr>
                <w:rFonts w:ascii="Montserrat" w:eastAsia="Times New Roman" w:hAnsi="Montserrat"/>
                <w:b/>
                <w:bCs/>
                <w:color w:val="000000"/>
                <w:sz w:val="15"/>
                <w:szCs w:val="15"/>
                <w:lang w:val="es-MX" w:eastAsia="es-MX"/>
              </w:rPr>
            </w:pPr>
            <w:r w:rsidRPr="00F7500F">
              <w:rPr>
                <w:rFonts w:ascii="Montserrat" w:eastAsia="Times New Roman" w:hAnsi="Montserrat"/>
                <w:b/>
                <w:bCs/>
                <w:color w:val="000000"/>
                <w:sz w:val="15"/>
                <w:szCs w:val="15"/>
                <w:lang w:val="es-MX" w:eastAsia="es-MX"/>
              </w:rPr>
              <w:t xml:space="preserve">Total Derechos a Recibir Bienes o Servicios </w:t>
            </w:r>
          </w:p>
        </w:tc>
        <w:tc>
          <w:tcPr>
            <w:tcW w:w="2200" w:type="dxa"/>
            <w:tcBorders>
              <w:top w:val="nil"/>
              <w:left w:val="nil"/>
              <w:bottom w:val="single" w:sz="12" w:space="0" w:color="808080"/>
              <w:right w:val="nil"/>
            </w:tcBorders>
            <w:shd w:val="clear" w:color="000000" w:fill="F2F2F2"/>
            <w:vAlign w:val="center"/>
            <w:hideMark/>
          </w:tcPr>
          <w:p w14:paraId="36F0512C" w14:textId="77777777" w:rsidR="00F7500F" w:rsidRPr="00F7500F" w:rsidRDefault="00F7500F" w:rsidP="00F7500F">
            <w:pPr>
              <w:spacing w:after="0" w:line="240" w:lineRule="auto"/>
              <w:jc w:val="right"/>
              <w:rPr>
                <w:rFonts w:ascii="Montserrat" w:eastAsia="Times New Roman" w:hAnsi="Montserrat"/>
                <w:b/>
                <w:bCs/>
                <w:color w:val="000000"/>
                <w:sz w:val="15"/>
                <w:szCs w:val="15"/>
                <w:lang w:val="es-MX" w:eastAsia="es-MX"/>
              </w:rPr>
            </w:pPr>
            <w:r w:rsidRPr="00F7500F">
              <w:rPr>
                <w:rFonts w:ascii="Montserrat" w:eastAsia="Times New Roman" w:hAnsi="Montserrat"/>
                <w:b/>
                <w:bCs/>
                <w:color w:val="000000"/>
                <w:sz w:val="15"/>
                <w:szCs w:val="15"/>
                <w:lang w:val="es-MX" w:eastAsia="es-MX"/>
              </w:rPr>
              <w:t>2,367,783,069.0</w:t>
            </w:r>
          </w:p>
        </w:tc>
        <w:tc>
          <w:tcPr>
            <w:tcW w:w="2176" w:type="dxa"/>
            <w:tcBorders>
              <w:top w:val="nil"/>
              <w:left w:val="nil"/>
              <w:bottom w:val="single" w:sz="12" w:space="0" w:color="808080"/>
              <w:right w:val="nil"/>
            </w:tcBorders>
            <w:shd w:val="clear" w:color="000000" w:fill="F2F2F2"/>
            <w:vAlign w:val="center"/>
            <w:hideMark/>
          </w:tcPr>
          <w:p w14:paraId="3C66E275" w14:textId="77777777" w:rsidR="00F7500F" w:rsidRPr="00F7500F" w:rsidRDefault="00F7500F" w:rsidP="00F7500F">
            <w:pPr>
              <w:spacing w:after="0" w:line="240" w:lineRule="auto"/>
              <w:jc w:val="right"/>
              <w:rPr>
                <w:rFonts w:ascii="Montserrat" w:eastAsia="Times New Roman" w:hAnsi="Montserrat"/>
                <w:b/>
                <w:bCs/>
                <w:color w:val="000000"/>
                <w:sz w:val="15"/>
                <w:szCs w:val="15"/>
                <w:lang w:val="es-MX" w:eastAsia="es-MX"/>
              </w:rPr>
            </w:pPr>
            <w:r w:rsidRPr="00F7500F">
              <w:rPr>
                <w:rFonts w:ascii="Montserrat" w:eastAsia="Times New Roman" w:hAnsi="Montserrat"/>
                <w:b/>
                <w:bCs/>
                <w:color w:val="000000"/>
                <w:sz w:val="15"/>
                <w:szCs w:val="15"/>
                <w:lang w:val="es-MX" w:eastAsia="es-MX"/>
              </w:rPr>
              <w:t>10,968,185,222.5</w:t>
            </w:r>
          </w:p>
        </w:tc>
      </w:tr>
    </w:tbl>
    <w:p w14:paraId="77DDE74D" w14:textId="77777777" w:rsidR="00F7500F" w:rsidRDefault="00F7500F" w:rsidP="009D5C48">
      <w:pPr>
        <w:pStyle w:val="TEXTONORMAL"/>
        <w:rPr>
          <w:lang w:val="es-MX"/>
        </w:rPr>
      </w:pPr>
    </w:p>
    <w:p w14:paraId="16FF6A9D" w14:textId="77777777" w:rsidR="00F7500F" w:rsidRDefault="00F7500F" w:rsidP="009D5C48">
      <w:pPr>
        <w:pStyle w:val="TEXTONORMAL"/>
        <w:rPr>
          <w:lang w:val="es-MX"/>
        </w:rPr>
      </w:pPr>
    </w:p>
    <w:p w14:paraId="5FA9C367" w14:textId="77777777" w:rsidR="009D5C48" w:rsidRPr="00410B9E" w:rsidRDefault="009D5C48" w:rsidP="003F2A12">
      <w:pPr>
        <w:pStyle w:val="TEXTONORMAL"/>
        <w:numPr>
          <w:ilvl w:val="0"/>
          <w:numId w:val="17"/>
        </w:numPr>
      </w:pPr>
      <w:r w:rsidRPr="00410B9E">
        <w:rPr>
          <w:b/>
        </w:rPr>
        <w:lastRenderedPageBreak/>
        <w:t>1.3.a)</w:t>
      </w:r>
      <w:r w:rsidRPr="00410B9E">
        <w:t xml:space="preserve"> El saldo corresponde a los anticipos pendientes de amortizar por medicamentos y material de curación</w:t>
      </w:r>
      <w:r w:rsidR="008A3112">
        <w:t>,</w:t>
      </w:r>
      <w:r w:rsidRPr="00410B9E">
        <w:t xml:space="preserve"> efectuados en el marco del “Convenio de colaboración para participar en la adquisición de medicamentos y demás insumos para la salud a través de los mecanismos de colaboración que tienen establecidos los organismos intergubernamentales internacionales”, que suscribieron el Instituto de Salud para el Bienestar (INSABI) y el IMSS, durante el ejercicio 2021 se entregaron recursos </w:t>
      </w:r>
      <w:r w:rsidRPr="008A3112">
        <w:t>por 20,658,400,913.1 pesos para respaldar el requerimiento de medicamentos y material de curación que fueron adquiridos por la Oficina de las Naciones</w:t>
      </w:r>
      <w:r w:rsidRPr="00410B9E">
        <w:t xml:space="preserve"> Unidades de Servicios para Proyectos (UNOPS).</w:t>
      </w:r>
    </w:p>
    <w:p w14:paraId="0EBA335E" w14:textId="77777777" w:rsidR="00E638C1" w:rsidRPr="00410B9E" w:rsidRDefault="009D5C48" w:rsidP="00734F78">
      <w:pPr>
        <w:pStyle w:val="TEXTONORMAL"/>
        <w:ind w:left="720"/>
      </w:pPr>
      <w:r w:rsidRPr="00410B9E">
        <w:t>La comproba</w:t>
      </w:r>
      <w:r w:rsidR="00DC6669">
        <w:t>ción de esos recursos se realiza</w:t>
      </w:r>
      <w:r w:rsidRPr="00410B9E">
        <w:t xml:space="preserve"> en el momento en el que los bienes son recibidos en los almacenes de los operadores logísticos contratados para la distribución de los mismos, por lo que el remanente</w:t>
      </w:r>
      <w:r w:rsidR="0054514C">
        <w:t xml:space="preserve"> al </w:t>
      </w:r>
      <w:r w:rsidR="00093F51">
        <w:t>30</w:t>
      </w:r>
      <w:r w:rsidR="0054514C" w:rsidRPr="00093F51">
        <w:t xml:space="preserve"> de </w:t>
      </w:r>
      <w:r w:rsidR="00F7500F">
        <w:t>septiembre</w:t>
      </w:r>
      <w:r w:rsidR="0054514C" w:rsidRPr="00093F51">
        <w:t xml:space="preserve"> de 2022 por </w:t>
      </w:r>
      <w:r w:rsidR="00F7500F" w:rsidRPr="00F7500F">
        <w:t>1,796,732,163.9</w:t>
      </w:r>
      <w:r w:rsidR="00F7500F">
        <w:t xml:space="preserve"> </w:t>
      </w:r>
      <w:r w:rsidR="006A576D" w:rsidRPr="00093F51">
        <w:t>pesos</w:t>
      </w:r>
      <w:r w:rsidR="0054514C" w:rsidRPr="00093F51">
        <w:t xml:space="preserve"> y al 31 de diciembre de 2021</w:t>
      </w:r>
      <w:r w:rsidRPr="00093F51">
        <w:t xml:space="preserve"> </w:t>
      </w:r>
      <w:r w:rsidR="0054514C" w:rsidRPr="00093F51">
        <w:t>por</w:t>
      </w:r>
      <w:r w:rsidRPr="00093F51">
        <w:t xml:space="preserve"> </w:t>
      </w:r>
      <w:r w:rsidR="00093F51" w:rsidRPr="00093F51">
        <w:t xml:space="preserve">10,400,079,984.1 </w:t>
      </w:r>
      <w:r w:rsidRPr="00093F51">
        <w:t>pesos corresponde</w:t>
      </w:r>
      <w:r w:rsidR="00613941">
        <w:t>n</w:t>
      </w:r>
      <w:r w:rsidRPr="00093F51">
        <w:t xml:space="preserve"> a los bienes pendientes de recepción por parte del Instituto, los cuales se estarán recibiendo dura</w:t>
      </w:r>
      <w:r w:rsidR="00093F51">
        <w:t xml:space="preserve">nte </w:t>
      </w:r>
      <w:r w:rsidRPr="00093F51">
        <w:t>l</w:t>
      </w:r>
      <w:r w:rsidR="00093F51">
        <w:t>o que resta del</w:t>
      </w:r>
      <w:r w:rsidRPr="00093F51">
        <w:t xml:space="preserve"> ejercicio 2022.</w:t>
      </w:r>
    </w:p>
    <w:p w14:paraId="185154AC" w14:textId="77777777" w:rsidR="009D5C48" w:rsidRDefault="009D5C48" w:rsidP="003F2A12">
      <w:pPr>
        <w:pStyle w:val="TEXTONORMAL"/>
        <w:numPr>
          <w:ilvl w:val="0"/>
          <w:numId w:val="17"/>
        </w:numPr>
        <w:rPr>
          <w:lang w:val="es-MX"/>
        </w:rPr>
      </w:pPr>
      <w:r w:rsidRPr="00410B9E">
        <w:rPr>
          <w:b/>
        </w:rPr>
        <w:t>1.3.</w:t>
      </w:r>
      <w:r w:rsidR="00286889">
        <w:rPr>
          <w:b/>
        </w:rPr>
        <w:t>b</w:t>
      </w:r>
      <w:r w:rsidRPr="00410B9E">
        <w:rPr>
          <w:b/>
        </w:rPr>
        <w:t xml:space="preserve">) </w:t>
      </w:r>
      <w:r w:rsidRPr="00410B9E">
        <w:rPr>
          <w:lang w:val="es-MX"/>
        </w:rPr>
        <w:t>Respecto a los otros anticipos, se registró</w:t>
      </w:r>
      <w:r w:rsidR="00093F51">
        <w:rPr>
          <w:lang w:val="es-MX"/>
        </w:rPr>
        <w:t xml:space="preserve"> en 2021</w:t>
      </w:r>
      <w:r w:rsidRPr="00410B9E">
        <w:rPr>
          <w:lang w:val="es-MX"/>
        </w:rPr>
        <w:t xml:space="preserve"> una estimación de cobro dudoso por el 100%, tomando en consideración la antigüedad del saldo y el estatus de los mismos para la recuperación de los adeudos;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w:t>
      </w:r>
    </w:p>
    <w:p w14:paraId="032A14D1" w14:textId="77777777" w:rsidR="009D5C48" w:rsidRDefault="009D5C48" w:rsidP="009D5C48">
      <w:pPr>
        <w:pStyle w:val="TEXTONORMAL"/>
        <w:rPr>
          <w:lang w:val="es-MX"/>
        </w:rPr>
      </w:pPr>
    </w:p>
    <w:p w14:paraId="006D5099" w14:textId="77777777" w:rsidR="009D5C48" w:rsidRPr="00120C31" w:rsidRDefault="005E70D6" w:rsidP="003F2A12">
      <w:pPr>
        <w:pStyle w:val="VIETAFLECHA"/>
        <w:numPr>
          <w:ilvl w:val="1"/>
          <w:numId w:val="11"/>
        </w:numPr>
        <w:ind w:left="357" w:hanging="357"/>
      </w:pPr>
      <w:r w:rsidRPr="008142BE">
        <w:rPr>
          <w:b/>
        </w:rPr>
        <w:t>1.4</w:t>
      </w:r>
      <w:r>
        <w:t xml:space="preserve"> </w:t>
      </w:r>
      <w:r w:rsidR="009D5C48" w:rsidRPr="00120C31">
        <w:t>Inventarios</w:t>
      </w:r>
    </w:p>
    <w:p w14:paraId="7CB9B9AC" w14:textId="77777777" w:rsidR="009D5C48" w:rsidRDefault="00494864" w:rsidP="005725BA">
      <w:pPr>
        <w:pStyle w:val="TEXTONORMAL"/>
        <w:rPr>
          <w:lang w:val="es-MX"/>
        </w:rPr>
      </w:pPr>
      <w:r>
        <w:t>Al 30 de septiembre</w:t>
      </w:r>
      <w:r w:rsidR="00F036B7">
        <w:t xml:space="preserve"> de 2022</w:t>
      </w:r>
      <w:r w:rsidR="00F036B7" w:rsidRPr="000B2CE4">
        <w:t xml:space="preserve"> y </w:t>
      </w:r>
      <w:r w:rsidR="009652D5">
        <w:t xml:space="preserve">al </w:t>
      </w:r>
      <w:r w:rsidR="00F036B7">
        <w:t>31 de diciembre de 2021</w:t>
      </w:r>
      <w:r w:rsidR="009D5C48" w:rsidRPr="00460EAA">
        <w:rPr>
          <w:lang w:val="es-MX"/>
        </w:rPr>
        <w:t>, el rubro de Inventarios asciende a:</w:t>
      </w:r>
    </w:p>
    <w:p w14:paraId="7C15063E" w14:textId="77777777" w:rsidR="009652D5" w:rsidRDefault="009652D5" w:rsidP="005725BA">
      <w:pPr>
        <w:pStyle w:val="TEXTONORMAL"/>
        <w:rPr>
          <w:lang w:val="es-MX"/>
        </w:rPr>
      </w:pPr>
    </w:p>
    <w:tbl>
      <w:tblPr>
        <w:tblW w:w="10318" w:type="dxa"/>
        <w:jc w:val="center"/>
        <w:tblCellMar>
          <w:left w:w="70" w:type="dxa"/>
          <w:right w:w="70" w:type="dxa"/>
        </w:tblCellMar>
        <w:tblLook w:val="04A0" w:firstRow="1" w:lastRow="0" w:firstColumn="1" w:lastColumn="0" w:noHBand="0" w:noVBand="1"/>
      </w:tblPr>
      <w:tblGrid>
        <w:gridCol w:w="6019"/>
        <w:gridCol w:w="2161"/>
        <w:gridCol w:w="2138"/>
      </w:tblGrid>
      <w:tr w:rsidR="00E84492" w:rsidRPr="00E84492" w14:paraId="33A1DA40" w14:textId="77777777" w:rsidTr="00E84492">
        <w:trPr>
          <w:trHeight w:val="252"/>
          <w:jc w:val="center"/>
        </w:trPr>
        <w:tc>
          <w:tcPr>
            <w:tcW w:w="601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4D9D74FB" w14:textId="77777777" w:rsidR="00E84492" w:rsidRPr="00E84492" w:rsidRDefault="00E84492" w:rsidP="00E84492">
            <w:pPr>
              <w:spacing w:after="0" w:line="240" w:lineRule="auto"/>
              <w:jc w:val="center"/>
              <w:rPr>
                <w:rFonts w:ascii="Montserrat" w:eastAsia="Times New Roman" w:hAnsi="Montserrat"/>
                <w:b/>
                <w:bCs/>
                <w:color w:val="FFFFFF"/>
                <w:sz w:val="16"/>
                <w:szCs w:val="16"/>
                <w:lang w:val="es-MX" w:eastAsia="es-MX"/>
              </w:rPr>
            </w:pPr>
            <w:r w:rsidRPr="00E84492">
              <w:rPr>
                <w:rFonts w:ascii="Montserrat" w:eastAsia="Times New Roman" w:hAnsi="Montserrat"/>
                <w:b/>
                <w:bCs/>
                <w:color w:val="FFFFFF"/>
                <w:sz w:val="16"/>
                <w:szCs w:val="16"/>
                <w:lang w:val="es-MX" w:eastAsia="es-MX"/>
              </w:rPr>
              <w:t>Concepto</w:t>
            </w:r>
          </w:p>
        </w:tc>
        <w:tc>
          <w:tcPr>
            <w:tcW w:w="429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C9D8FC9" w14:textId="77777777" w:rsidR="00E84492" w:rsidRPr="00E84492" w:rsidRDefault="00E84492" w:rsidP="00E84492">
            <w:pPr>
              <w:spacing w:after="0" w:line="240" w:lineRule="auto"/>
              <w:jc w:val="center"/>
              <w:rPr>
                <w:rFonts w:ascii="Montserrat" w:eastAsia="Times New Roman" w:hAnsi="Montserrat"/>
                <w:b/>
                <w:bCs/>
                <w:color w:val="FFFFFF"/>
                <w:sz w:val="16"/>
                <w:szCs w:val="16"/>
                <w:lang w:val="es-MX" w:eastAsia="es-MX"/>
              </w:rPr>
            </w:pPr>
            <w:r w:rsidRPr="00E84492">
              <w:rPr>
                <w:rFonts w:ascii="Montserrat" w:eastAsia="Times New Roman" w:hAnsi="Montserrat"/>
                <w:b/>
                <w:bCs/>
                <w:color w:val="FFFFFF"/>
                <w:sz w:val="16"/>
                <w:szCs w:val="16"/>
                <w:lang w:val="es-MX" w:eastAsia="es-MX"/>
              </w:rPr>
              <w:t>Cifras en pesos</w:t>
            </w:r>
          </w:p>
        </w:tc>
      </w:tr>
      <w:tr w:rsidR="00E84492" w:rsidRPr="00E84492" w14:paraId="6145ADAB" w14:textId="77777777" w:rsidTr="00E84492">
        <w:trPr>
          <w:trHeight w:val="252"/>
          <w:jc w:val="center"/>
        </w:trPr>
        <w:tc>
          <w:tcPr>
            <w:tcW w:w="6019" w:type="dxa"/>
            <w:vMerge/>
            <w:tcBorders>
              <w:top w:val="single" w:sz="12" w:space="0" w:color="808080"/>
              <w:left w:val="nil"/>
              <w:bottom w:val="double" w:sz="6" w:space="0" w:color="808080"/>
              <w:right w:val="single" w:sz="12" w:space="0" w:color="FFFFFF"/>
            </w:tcBorders>
            <w:vAlign w:val="center"/>
            <w:hideMark/>
          </w:tcPr>
          <w:p w14:paraId="633EA6FC" w14:textId="77777777" w:rsidR="00E84492" w:rsidRPr="00E84492" w:rsidRDefault="00E84492" w:rsidP="00E84492">
            <w:pPr>
              <w:spacing w:after="0" w:line="240" w:lineRule="auto"/>
              <w:rPr>
                <w:rFonts w:ascii="Montserrat" w:eastAsia="Times New Roman" w:hAnsi="Montserrat"/>
                <w:b/>
                <w:bCs/>
                <w:color w:val="FFFFFF"/>
                <w:sz w:val="16"/>
                <w:szCs w:val="16"/>
                <w:lang w:val="es-MX" w:eastAsia="es-MX"/>
              </w:rPr>
            </w:pPr>
          </w:p>
        </w:tc>
        <w:tc>
          <w:tcPr>
            <w:tcW w:w="2161" w:type="dxa"/>
            <w:tcBorders>
              <w:top w:val="nil"/>
              <w:left w:val="nil"/>
              <w:bottom w:val="double" w:sz="6" w:space="0" w:color="808080"/>
              <w:right w:val="single" w:sz="12" w:space="0" w:color="FFFFFF"/>
            </w:tcBorders>
            <w:shd w:val="clear" w:color="000000" w:fill="D4C19C"/>
            <w:vAlign w:val="center"/>
            <w:hideMark/>
          </w:tcPr>
          <w:p w14:paraId="7598F44D" w14:textId="77777777" w:rsidR="00E84492" w:rsidRPr="00E84492" w:rsidRDefault="00E84492" w:rsidP="00E84492">
            <w:pPr>
              <w:spacing w:after="0" w:line="240" w:lineRule="auto"/>
              <w:jc w:val="center"/>
              <w:rPr>
                <w:rFonts w:ascii="Montserrat" w:eastAsia="Times New Roman" w:hAnsi="Montserrat"/>
                <w:b/>
                <w:bCs/>
                <w:color w:val="FFFFFF"/>
                <w:sz w:val="16"/>
                <w:szCs w:val="16"/>
                <w:lang w:val="es-MX" w:eastAsia="es-MX"/>
              </w:rPr>
            </w:pPr>
            <w:r w:rsidRPr="00E84492">
              <w:rPr>
                <w:rFonts w:ascii="Montserrat" w:eastAsia="Times New Roman" w:hAnsi="Montserrat"/>
                <w:b/>
                <w:bCs/>
                <w:color w:val="FFFFFF"/>
                <w:sz w:val="16"/>
                <w:szCs w:val="16"/>
                <w:lang w:val="es-MX" w:eastAsia="es-MX"/>
              </w:rPr>
              <w:t>2022</w:t>
            </w:r>
          </w:p>
        </w:tc>
        <w:tc>
          <w:tcPr>
            <w:tcW w:w="2138" w:type="dxa"/>
            <w:tcBorders>
              <w:top w:val="nil"/>
              <w:left w:val="nil"/>
              <w:bottom w:val="double" w:sz="6" w:space="0" w:color="808080"/>
              <w:right w:val="single" w:sz="12" w:space="0" w:color="FFFFFF"/>
            </w:tcBorders>
            <w:shd w:val="clear" w:color="000000" w:fill="D4C19C"/>
            <w:vAlign w:val="center"/>
            <w:hideMark/>
          </w:tcPr>
          <w:p w14:paraId="07E11740" w14:textId="77777777" w:rsidR="00E84492" w:rsidRPr="00E84492" w:rsidRDefault="00E84492" w:rsidP="00E84492">
            <w:pPr>
              <w:spacing w:after="0" w:line="240" w:lineRule="auto"/>
              <w:jc w:val="center"/>
              <w:rPr>
                <w:rFonts w:ascii="Montserrat" w:eastAsia="Times New Roman" w:hAnsi="Montserrat"/>
                <w:b/>
                <w:bCs/>
                <w:color w:val="FFFFFF"/>
                <w:sz w:val="16"/>
                <w:szCs w:val="16"/>
                <w:lang w:val="es-MX" w:eastAsia="es-MX"/>
              </w:rPr>
            </w:pPr>
            <w:r w:rsidRPr="00E84492">
              <w:rPr>
                <w:rFonts w:ascii="Montserrat" w:eastAsia="Times New Roman" w:hAnsi="Montserrat"/>
                <w:b/>
                <w:bCs/>
                <w:color w:val="FFFFFF"/>
                <w:sz w:val="16"/>
                <w:szCs w:val="16"/>
                <w:lang w:val="es-MX" w:eastAsia="es-MX"/>
              </w:rPr>
              <w:t>2021</w:t>
            </w:r>
          </w:p>
        </w:tc>
      </w:tr>
      <w:tr w:rsidR="00E84492" w:rsidRPr="00E84492" w14:paraId="52B79EA9" w14:textId="77777777" w:rsidTr="00E84492">
        <w:trPr>
          <w:trHeight w:val="241"/>
          <w:jc w:val="center"/>
        </w:trPr>
        <w:tc>
          <w:tcPr>
            <w:tcW w:w="6019" w:type="dxa"/>
            <w:tcBorders>
              <w:top w:val="nil"/>
              <w:left w:val="nil"/>
              <w:bottom w:val="nil"/>
              <w:right w:val="nil"/>
            </w:tcBorders>
            <w:shd w:val="clear" w:color="000000" w:fill="F2F2F2"/>
            <w:vAlign w:val="center"/>
            <w:hideMark/>
          </w:tcPr>
          <w:p w14:paraId="49245489" w14:textId="77777777" w:rsidR="00E84492" w:rsidRPr="00E84492" w:rsidRDefault="00E84492" w:rsidP="00E84492">
            <w:pPr>
              <w:spacing w:after="0" w:line="240" w:lineRule="auto"/>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 xml:space="preserve">Inventarios de Tiendas IMSS-SNTSS </w:t>
            </w:r>
            <w:r w:rsidRPr="00E84492">
              <w:rPr>
                <w:rFonts w:ascii="Montserrat" w:eastAsia="Times New Roman" w:hAnsi="Montserrat"/>
                <w:b/>
                <w:bCs/>
                <w:color w:val="000000"/>
                <w:sz w:val="15"/>
                <w:szCs w:val="15"/>
                <w:lang w:val="es-MX" w:eastAsia="es-MX"/>
              </w:rPr>
              <w:t>(1.4.a)</w:t>
            </w:r>
          </w:p>
        </w:tc>
        <w:tc>
          <w:tcPr>
            <w:tcW w:w="2161" w:type="dxa"/>
            <w:tcBorders>
              <w:top w:val="nil"/>
              <w:left w:val="nil"/>
              <w:bottom w:val="nil"/>
              <w:right w:val="nil"/>
            </w:tcBorders>
            <w:shd w:val="clear" w:color="000000" w:fill="F2F2F2"/>
            <w:vAlign w:val="center"/>
            <w:hideMark/>
          </w:tcPr>
          <w:p w14:paraId="11CBD654" w14:textId="77777777" w:rsidR="00E84492" w:rsidRPr="00E84492" w:rsidRDefault="00E84492" w:rsidP="00E84492">
            <w:pPr>
              <w:spacing w:after="0" w:line="240" w:lineRule="auto"/>
              <w:jc w:val="right"/>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177,776,521.5</w:t>
            </w:r>
          </w:p>
        </w:tc>
        <w:tc>
          <w:tcPr>
            <w:tcW w:w="2138" w:type="dxa"/>
            <w:tcBorders>
              <w:top w:val="nil"/>
              <w:left w:val="nil"/>
              <w:bottom w:val="nil"/>
              <w:right w:val="nil"/>
            </w:tcBorders>
            <w:shd w:val="clear" w:color="000000" w:fill="F2F2F2"/>
            <w:vAlign w:val="center"/>
            <w:hideMark/>
          </w:tcPr>
          <w:p w14:paraId="53E9FDBA" w14:textId="77777777" w:rsidR="00E84492" w:rsidRPr="00E84492" w:rsidRDefault="00E84492" w:rsidP="00E84492">
            <w:pPr>
              <w:spacing w:after="0" w:line="240" w:lineRule="auto"/>
              <w:jc w:val="right"/>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138,600,399.4</w:t>
            </w:r>
          </w:p>
        </w:tc>
      </w:tr>
      <w:tr w:rsidR="00E84492" w:rsidRPr="00E84492" w14:paraId="18CE14F9" w14:textId="77777777" w:rsidTr="00E84492">
        <w:trPr>
          <w:trHeight w:val="230"/>
          <w:jc w:val="center"/>
        </w:trPr>
        <w:tc>
          <w:tcPr>
            <w:tcW w:w="6019" w:type="dxa"/>
            <w:tcBorders>
              <w:top w:val="nil"/>
              <w:left w:val="nil"/>
              <w:bottom w:val="nil"/>
              <w:right w:val="nil"/>
            </w:tcBorders>
            <w:shd w:val="clear" w:color="000000" w:fill="F2F2F2"/>
            <w:vAlign w:val="center"/>
            <w:hideMark/>
          </w:tcPr>
          <w:p w14:paraId="694EAE48" w14:textId="77777777" w:rsidR="00E84492" w:rsidRPr="00E84492" w:rsidRDefault="00E84492" w:rsidP="00E84492">
            <w:pPr>
              <w:spacing w:after="0" w:line="240" w:lineRule="auto"/>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 xml:space="preserve">Inventarios de Reproducciones Gráficas </w:t>
            </w:r>
            <w:r w:rsidRPr="00E84492">
              <w:rPr>
                <w:rFonts w:ascii="Montserrat" w:eastAsia="Times New Roman" w:hAnsi="Montserrat"/>
                <w:b/>
                <w:bCs/>
                <w:color w:val="000000"/>
                <w:sz w:val="15"/>
                <w:szCs w:val="15"/>
                <w:lang w:val="es-MX" w:eastAsia="es-MX"/>
              </w:rPr>
              <w:t>(1.4.b)</w:t>
            </w:r>
          </w:p>
        </w:tc>
        <w:tc>
          <w:tcPr>
            <w:tcW w:w="2161" w:type="dxa"/>
            <w:tcBorders>
              <w:top w:val="nil"/>
              <w:left w:val="nil"/>
              <w:bottom w:val="nil"/>
              <w:right w:val="nil"/>
            </w:tcBorders>
            <w:shd w:val="clear" w:color="000000" w:fill="F2F2F2"/>
            <w:vAlign w:val="center"/>
            <w:hideMark/>
          </w:tcPr>
          <w:p w14:paraId="0A80E7C9" w14:textId="77777777" w:rsidR="00E84492" w:rsidRPr="00E84492" w:rsidRDefault="00E84492" w:rsidP="00E84492">
            <w:pPr>
              <w:spacing w:after="0" w:line="240" w:lineRule="auto"/>
              <w:jc w:val="right"/>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11,350,618.9</w:t>
            </w:r>
          </w:p>
        </w:tc>
        <w:tc>
          <w:tcPr>
            <w:tcW w:w="2138" w:type="dxa"/>
            <w:tcBorders>
              <w:top w:val="nil"/>
              <w:left w:val="nil"/>
              <w:bottom w:val="nil"/>
              <w:right w:val="nil"/>
            </w:tcBorders>
            <w:shd w:val="clear" w:color="000000" w:fill="F2F2F2"/>
            <w:vAlign w:val="center"/>
            <w:hideMark/>
          </w:tcPr>
          <w:p w14:paraId="0E48C584" w14:textId="77777777" w:rsidR="00E84492" w:rsidRPr="00E84492" w:rsidRDefault="00E84492" w:rsidP="00E84492">
            <w:pPr>
              <w:spacing w:after="0" w:line="240" w:lineRule="auto"/>
              <w:jc w:val="right"/>
              <w:rPr>
                <w:rFonts w:ascii="Montserrat" w:eastAsia="Times New Roman" w:hAnsi="Montserrat"/>
                <w:color w:val="000000"/>
                <w:sz w:val="15"/>
                <w:szCs w:val="15"/>
                <w:lang w:val="es-MX" w:eastAsia="es-MX"/>
              </w:rPr>
            </w:pPr>
            <w:r w:rsidRPr="00E84492">
              <w:rPr>
                <w:rFonts w:ascii="Montserrat" w:eastAsia="Times New Roman" w:hAnsi="Montserrat"/>
                <w:color w:val="000000"/>
                <w:sz w:val="15"/>
                <w:szCs w:val="15"/>
                <w:lang w:val="es-MX" w:eastAsia="es-MX"/>
              </w:rPr>
              <w:t>0.0</w:t>
            </w:r>
          </w:p>
        </w:tc>
      </w:tr>
      <w:tr w:rsidR="00E84492" w:rsidRPr="00E84492" w14:paraId="4FEC9EB8" w14:textId="77777777" w:rsidTr="00E84492">
        <w:trPr>
          <w:trHeight w:val="241"/>
          <w:jc w:val="center"/>
        </w:trPr>
        <w:tc>
          <w:tcPr>
            <w:tcW w:w="6019" w:type="dxa"/>
            <w:tcBorders>
              <w:top w:val="nil"/>
              <w:left w:val="nil"/>
              <w:bottom w:val="single" w:sz="12" w:space="0" w:color="808080"/>
              <w:right w:val="nil"/>
            </w:tcBorders>
            <w:shd w:val="clear" w:color="000000" w:fill="F2F2F2"/>
            <w:vAlign w:val="center"/>
            <w:hideMark/>
          </w:tcPr>
          <w:p w14:paraId="35075AE4" w14:textId="77777777" w:rsidR="00E84492" w:rsidRPr="00E84492" w:rsidRDefault="00E84492" w:rsidP="00E84492">
            <w:pPr>
              <w:spacing w:after="0" w:line="240" w:lineRule="auto"/>
              <w:rPr>
                <w:rFonts w:ascii="Montserrat" w:eastAsia="Times New Roman" w:hAnsi="Montserrat"/>
                <w:b/>
                <w:bCs/>
                <w:color w:val="000000"/>
                <w:sz w:val="15"/>
                <w:szCs w:val="15"/>
                <w:lang w:val="es-MX" w:eastAsia="es-MX"/>
              </w:rPr>
            </w:pPr>
            <w:r w:rsidRPr="00E84492">
              <w:rPr>
                <w:rFonts w:ascii="Montserrat" w:eastAsia="Times New Roman" w:hAnsi="Montserrat"/>
                <w:b/>
                <w:bCs/>
                <w:color w:val="000000"/>
                <w:sz w:val="15"/>
                <w:szCs w:val="15"/>
                <w:lang w:val="es-MX" w:eastAsia="es-MX"/>
              </w:rPr>
              <w:t>Total Inventarios</w:t>
            </w:r>
          </w:p>
        </w:tc>
        <w:tc>
          <w:tcPr>
            <w:tcW w:w="2161" w:type="dxa"/>
            <w:tcBorders>
              <w:top w:val="nil"/>
              <w:left w:val="nil"/>
              <w:bottom w:val="single" w:sz="12" w:space="0" w:color="808080"/>
              <w:right w:val="nil"/>
            </w:tcBorders>
            <w:shd w:val="clear" w:color="000000" w:fill="F2F2F2"/>
            <w:vAlign w:val="center"/>
            <w:hideMark/>
          </w:tcPr>
          <w:p w14:paraId="7636ACC6" w14:textId="77777777" w:rsidR="00E84492" w:rsidRPr="00E84492" w:rsidRDefault="00E84492" w:rsidP="00E84492">
            <w:pPr>
              <w:spacing w:after="0" w:line="240" w:lineRule="auto"/>
              <w:jc w:val="right"/>
              <w:rPr>
                <w:rFonts w:ascii="Montserrat" w:eastAsia="Times New Roman" w:hAnsi="Montserrat"/>
                <w:b/>
                <w:bCs/>
                <w:color w:val="000000"/>
                <w:sz w:val="15"/>
                <w:szCs w:val="15"/>
                <w:lang w:val="es-MX" w:eastAsia="es-MX"/>
              </w:rPr>
            </w:pPr>
            <w:r w:rsidRPr="00E84492">
              <w:rPr>
                <w:rFonts w:ascii="Montserrat" w:eastAsia="Times New Roman" w:hAnsi="Montserrat"/>
                <w:b/>
                <w:bCs/>
                <w:color w:val="000000"/>
                <w:sz w:val="15"/>
                <w:szCs w:val="15"/>
                <w:lang w:val="es-MX" w:eastAsia="es-MX"/>
              </w:rPr>
              <w:t>189,127,140.4</w:t>
            </w:r>
          </w:p>
        </w:tc>
        <w:tc>
          <w:tcPr>
            <w:tcW w:w="2138" w:type="dxa"/>
            <w:tcBorders>
              <w:top w:val="nil"/>
              <w:left w:val="nil"/>
              <w:bottom w:val="single" w:sz="12" w:space="0" w:color="808080"/>
              <w:right w:val="nil"/>
            </w:tcBorders>
            <w:shd w:val="clear" w:color="000000" w:fill="F2F2F2"/>
            <w:vAlign w:val="center"/>
            <w:hideMark/>
          </w:tcPr>
          <w:p w14:paraId="2A8F20DE" w14:textId="77777777" w:rsidR="00E84492" w:rsidRPr="00E84492" w:rsidRDefault="00E84492" w:rsidP="00E84492">
            <w:pPr>
              <w:spacing w:after="0" w:line="240" w:lineRule="auto"/>
              <w:jc w:val="right"/>
              <w:rPr>
                <w:rFonts w:ascii="Montserrat" w:eastAsia="Times New Roman" w:hAnsi="Montserrat"/>
                <w:b/>
                <w:bCs/>
                <w:color w:val="000000"/>
                <w:sz w:val="15"/>
                <w:szCs w:val="15"/>
                <w:lang w:val="es-MX" w:eastAsia="es-MX"/>
              </w:rPr>
            </w:pPr>
            <w:r w:rsidRPr="00E84492">
              <w:rPr>
                <w:rFonts w:ascii="Montserrat" w:eastAsia="Times New Roman" w:hAnsi="Montserrat"/>
                <w:b/>
                <w:bCs/>
                <w:color w:val="000000"/>
                <w:sz w:val="15"/>
                <w:szCs w:val="15"/>
                <w:lang w:val="es-MX" w:eastAsia="es-MX"/>
              </w:rPr>
              <w:t>138,600,399.4</w:t>
            </w:r>
          </w:p>
        </w:tc>
      </w:tr>
    </w:tbl>
    <w:p w14:paraId="4391C9EB" w14:textId="77777777" w:rsidR="00E84492" w:rsidRDefault="00E84492" w:rsidP="005725BA">
      <w:pPr>
        <w:pStyle w:val="TEXTONORMAL"/>
        <w:rPr>
          <w:lang w:val="es-MX"/>
        </w:rPr>
      </w:pPr>
    </w:p>
    <w:p w14:paraId="4AFC0460" w14:textId="77777777" w:rsidR="009D5C48" w:rsidRPr="00B12BA4" w:rsidRDefault="00B12BA4" w:rsidP="00B12BA4">
      <w:pPr>
        <w:pStyle w:val="TEXTONORMAL"/>
        <w:numPr>
          <w:ilvl w:val="0"/>
          <w:numId w:val="17"/>
        </w:numPr>
      </w:pPr>
      <w:r w:rsidRPr="00B12BA4">
        <w:rPr>
          <w:b/>
        </w:rPr>
        <w:t xml:space="preserve">1.4.a) </w:t>
      </w:r>
      <w:r w:rsidR="009D5C48" w:rsidRPr="00B12BA4">
        <w:t xml:space="preserve">Los inventarios </w:t>
      </w:r>
      <w:r w:rsidR="0060709F" w:rsidRPr="00B12BA4">
        <w:t xml:space="preserve">de </w:t>
      </w:r>
      <w:r w:rsidR="00EE434E" w:rsidRPr="00B12BA4">
        <w:t>t</w:t>
      </w:r>
      <w:r w:rsidR="0060709F" w:rsidRPr="00B12BA4">
        <w:t xml:space="preserve">iendas </w:t>
      </w:r>
      <w:r w:rsidR="009D5C48" w:rsidRPr="00B12BA4">
        <w:t xml:space="preserve">corresponden a mercancías para su comercialización en las Tiendas IMSS-SNTSS. Las mercancías se encuentran valuadas por el método de costos promedios. </w:t>
      </w:r>
    </w:p>
    <w:p w14:paraId="4140C612" w14:textId="77777777" w:rsidR="00E638C1" w:rsidRPr="00B12BA4" w:rsidRDefault="009D5C48" w:rsidP="00B12BA4">
      <w:pPr>
        <w:pStyle w:val="TEXTONORMAL"/>
        <w:ind w:left="720"/>
      </w:pPr>
      <w:r w:rsidRPr="00B12BA4">
        <w:t xml:space="preserve">Los inventarios, incluyendo artículos obsoletos, de lento movimiento, defectuosos o en mal estado, </w:t>
      </w:r>
      <w:r w:rsidR="00484723">
        <w:t xml:space="preserve">los cuales </w:t>
      </w:r>
      <w:r w:rsidRPr="00B12BA4">
        <w:t xml:space="preserve">se encuentran registrados a valores que no exceden su valor estimado de realización. </w:t>
      </w:r>
    </w:p>
    <w:p w14:paraId="6CFB694B" w14:textId="00737432" w:rsidR="00E365BF" w:rsidRDefault="00B12BA4" w:rsidP="00B12BA4">
      <w:pPr>
        <w:pStyle w:val="TEXTONORMAL"/>
        <w:numPr>
          <w:ilvl w:val="0"/>
          <w:numId w:val="17"/>
        </w:numPr>
      </w:pPr>
      <w:r w:rsidRPr="00B12BA4">
        <w:rPr>
          <w:b/>
        </w:rPr>
        <w:t>1.4.b)</w:t>
      </w:r>
      <w:r>
        <w:rPr>
          <w:b/>
        </w:rPr>
        <w:t xml:space="preserve"> </w:t>
      </w:r>
      <w:r w:rsidR="006A576D">
        <w:t>Para su uso en</w:t>
      </w:r>
      <w:r w:rsidRPr="00B12BA4">
        <w:t xml:space="preserve"> 2022 se dieron de alta cuentas para el control de los inventarios</w:t>
      </w:r>
      <w:r>
        <w:rPr>
          <w:b/>
        </w:rPr>
        <w:t xml:space="preserve"> </w:t>
      </w:r>
      <w:r w:rsidR="00E057FD" w:rsidRPr="00B12BA4">
        <w:t>de Reproducciones Graficas, contando con</w:t>
      </w:r>
      <w:r w:rsidR="00E85E6F" w:rsidRPr="00B12BA4">
        <w:t xml:space="preserve"> inventario de mercancías en proceso de elaboración, inventario de </w:t>
      </w:r>
      <w:r w:rsidR="003B2854" w:rsidRPr="00B12BA4">
        <w:t>mercancías y productos terminados</w:t>
      </w:r>
      <w:r w:rsidR="00E85E6F" w:rsidRPr="00B12BA4">
        <w:t xml:space="preserve"> en tránsito</w:t>
      </w:r>
      <w:r w:rsidR="0017074D" w:rsidRPr="00B12BA4">
        <w:t>.</w:t>
      </w:r>
    </w:p>
    <w:p w14:paraId="683D59E9" w14:textId="77777777" w:rsidR="005B1145" w:rsidRDefault="005B1145" w:rsidP="005B1145">
      <w:pPr>
        <w:pStyle w:val="TEXTONORMAL"/>
        <w:ind w:left="720"/>
      </w:pPr>
    </w:p>
    <w:p w14:paraId="04034A67" w14:textId="77777777" w:rsidR="009D5C48" w:rsidRPr="00120C31" w:rsidRDefault="005E70D6" w:rsidP="003F2A12">
      <w:pPr>
        <w:pStyle w:val="VIETAFLECHA"/>
        <w:numPr>
          <w:ilvl w:val="1"/>
          <w:numId w:val="11"/>
        </w:numPr>
        <w:ind w:left="357" w:hanging="357"/>
      </w:pPr>
      <w:r w:rsidRPr="008142BE">
        <w:rPr>
          <w:b/>
        </w:rPr>
        <w:lastRenderedPageBreak/>
        <w:t>1.5</w:t>
      </w:r>
      <w:r>
        <w:t xml:space="preserve"> </w:t>
      </w:r>
      <w:r w:rsidR="009D5C48" w:rsidRPr="00120C31">
        <w:t>Almacenes</w:t>
      </w:r>
    </w:p>
    <w:p w14:paraId="0D49F11E" w14:textId="77777777" w:rsidR="001F3CDE" w:rsidRDefault="009D5C48" w:rsidP="005725BA">
      <w:pPr>
        <w:pStyle w:val="TEXTONORMAL"/>
        <w:rPr>
          <w:lang w:val="es-MX"/>
        </w:rPr>
      </w:pPr>
      <w:r>
        <w:rPr>
          <w:lang w:val="es-MX"/>
        </w:rPr>
        <w:t>Los bienes registrados en los a</w:t>
      </w:r>
      <w:r w:rsidRPr="00AE31AE">
        <w:rPr>
          <w:lang w:val="es-MX"/>
        </w:rPr>
        <w:t xml:space="preserve">lmacenes se integran por productos farmacéuticos, de laboratorio y </w:t>
      </w:r>
      <w:r>
        <w:rPr>
          <w:lang w:val="es-MX"/>
        </w:rPr>
        <w:t xml:space="preserve">artículos </w:t>
      </w:r>
      <w:r w:rsidRPr="00AE31AE">
        <w:rPr>
          <w:lang w:val="es-MX"/>
        </w:rPr>
        <w:t xml:space="preserve">similares </w:t>
      </w:r>
      <w:r>
        <w:rPr>
          <w:lang w:val="es-MX"/>
        </w:rPr>
        <w:t xml:space="preserve">necesarios </w:t>
      </w:r>
      <w:r w:rsidRPr="00AE31AE">
        <w:rPr>
          <w:lang w:val="es-MX"/>
        </w:rPr>
        <w:t>para el desempeño de las actividades del Instituto, los</w:t>
      </w:r>
      <w:r w:rsidR="009652D5">
        <w:rPr>
          <w:lang w:val="es-MX"/>
        </w:rPr>
        <w:t xml:space="preserve"> </w:t>
      </w:r>
      <w:r w:rsidR="003B2854">
        <w:rPr>
          <w:lang w:val="es-MX"/>
        </w:rPr>
        <w:t>cuales,</w:t>
      </w:r>
      <w:r w:rsidR="00402E75">
        <w:rPr>
          <w:lang w:val="es-MX"/>
        </w:rPr>
        <w:t xml:space="preserve"> al 30 de </w:t>
      </w:r>
      <w:r w:rsidR="00345C95">
        <w:rPr>
          <w:lang w:val="es-MX"/>
        </w:rPr>
        <w:t>septiembre</w:t>
      </w:r>
      <w:r w:rsidR="009652D5">
        <w:rPr>
          <w:lang w:val="es-MX"/>
        </w:rPr>
        <w:t xml:space="preserve"> de 2022 y al 31 de diciembre de 2021</w:t>
      </w:r>
      <w:r w:rsidRPr="00AE31AE">
        <w:rPr>
          <w:lang w:val="es-MX"/>
        </w:rPr>
        <w:t>, se muestran de la siguiente manera:</w:t>
      </w:r>
    </w:p>
    <w:p w14:paraId="68B3B901" w14:textId="77777777" w:rsidR="009652D5" w:rsidRDefault="009652D5" w:rsidP="005725BA">
      <w:pPr>
        <w:pStyle w:val="TEXTONORMAL"/>
        <w:rPr>
          <w:lang w:val="es-MX"/>
        </w:rPr>
      </w:pPr>
    </w:p>
    <w:tbl>
      <w:tblPr>
        <w:tblW w:w="10126" w:type="dxa"/>
        <w:jc w:val="center"/>
        <w:tblCellMar>
          <w:left w:w="70" w:type="dxa"/>
          <w:right w:w="70" w:type="dxa"/>
        </w:tblCellMar>
        <w:tblLook w:val="04A0" w:firstRow="1" w:lastRow="0" w:firstColumn="1" w:lastColumn="0" w:noHBand="0" w:noVBand="1"/>
      </w:tblPr>
      <w:tblGrid>
        <w:gridCol w:w="5907"/>
        <w:gridCol w:w="2121"/>
        <w:gridCol w:w="2098"/>
      </w:tblGrid>
      <w:tr w:rsidR="00EB55B1" w:rsidRPr="00EB55B1" w14:paraId="72FC573D" w14:textId="77777777" w:rsidTr="00EB55B1">
        <w:trPr>
          <w:trHeight w:val="266"/>
          <w:jc w:val="center"/>
        </w:trPr>
        <w:tc>
          <w:tcPr>
            <w:tcW w:w="590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1CD428A" w14:textId="77777777" w:rsidR="00EB55B1" w:rsidRPr="00EB55B1" w:rsidRDefault="00EB55B1" w:rsidP="00EB55B1">
            <w:pPr>
              <w:spacing w:after="0" w:line="240" w:lineRule="auto"/>
              <w:jc w:val="center"/>
              <w:rPr>
                <w:rFonts w:ascii="Montserrat" w:eastAsia="Times New Roman" w:hAnsi="Montserrat"/>
                <w:b/>
                <w:bCs/>
                <w:color w:val="FFFFFF"/>
                <w:sz w:val="16"/>
                <w:szCs w:val="16"/>
                <w:lang w:val="es-MX" w:eastAsia="es-MX"/>
              </w:rPr>
            </w:pPr>
            <w:r w:rsidRPr="00EB55B1">
              <w:rPr>
                <w:rFonts w:ascii="Montserrat" w:eastAsia="Times New Roman" w:hAnsi="Montserrat"/>
                <w:b/>
                <w:bCs/>
                <w:color w:val="FFFFFF"/>
                <w:sz w:val="16"/>
                <w:szCs w:val="16"/>
                <w:lang w:val="es-MX" w:eastAsia="es-MX"/>
              </w:rPr>
              <w:t>Concepto</w:t>
            </w:r>
          </w:p>
        </w:tc>
        <w:tc>
          <w:tcPr>
            <w:tcW w:w="421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A7E868B" w14:textId="77777777" w:rsidR="00EB55B1" w:rsidRPr="00EB55B1" w:rsidRDefault="00EB55B1" w:rsidP="00EB55B1">
            <w:pPr>
              <w:spacing w:after="0" w:line="240" w:lineRule="auto"/>
              <w:jc w:val="center"/>
              <w:rPr>
                <w:rFonts w:ascii="Montserrat" w:eastAsia="Times New Roman" w:hAnsi="Montserrat"/>
                <w:b/>
                <w:bCs/>
                <w:color w:val="FFFFFF"/>
                <w:sz w:val="16"/>
                <w:szCs w:val="16"/>
                <w:lang w:val="es-MX" w:eastAsia="es-MX"/>
              </w:rPr>
            </w:pPr>
            <w:r w:rsidRPr="00EB55B1">
              <w:rPr>
                <w:rFonts w:ascii="Montserrat" w:eastAsia="Times New Roman" w:hAnsi="Montserrat"/>
                <w:b/>
                <w:bCs/>
                <w:color w:val="FFFFFF"/>
                <w:sz w:val="16"/>
                <w:szCs w:val="16"/>
                <w:lang w:val="es-MX" w:eastAsia="es-MX"/>
              </w:rPr>
              <w:t>Cifras en pesos</w:t>
            </w:r>
          </w:p>
        </w:tc>
      </w:tr>
      <w:tr w:rsidR="00EB55B1" w:rsidRPr="00EB55B1" w14:paraId="6915E999" w14:textId="77777777" w:rsidTr="00EB55B1">
        <w:trPr>
          <w:trHeight w:val="266"/>
          <w:jc w:val="center"/>
        </w:trPr>
        <w:tc>
          <w:tcPr>
            <w:tcW w:w="5907" w:type="dxa"/>
            <w:vMerge/>
            <w:tcBorders>
              <w:top w:val="single" w:sz="12" w:space="0" w:color="808080"/>
              <w:left w:val="nil"/>
              <w:bottom w:val="double" w:sz="6" w:space="0" w:color="808080"/>
              <w:right w:val="single" w:sz="12" w:space="0" w:color="FFFFFF"/>
            </w:tcBorders>
            <w:vAlign w:val="center"/>
            <w:hideMark/>
          </w:tcPr>
          <w:p w14:paraId="55ABA9B5" w14:textId="77777777" w:rsidR="00EB55B1" w:rsidRPr="00EB55B1" w:rsidRDefault="00EB55B1" w:rsidP="00EB55B1">
            <w:pPr>
              <w:spacing w:after="0" w:line="240" w:lineRule="auto"/>
              <w:rPr>
                <w:rFonts w:ascii="Montserrat" w:eastAsia="Times New Roman" w:hAnsi="Montserrat"/>
                <w:b/>
                <w:bCs/>
                <w:color w:val="FFFFFF"/>
                <w:sz w:val="16"/>
                <w:szCs w:val="16"/>
                <w:lang w:val="es-MX" w:eastAsia="es-MX"/>
              </w:rPr>
            </w:pPr>
          </w:p>
        </w:tc>
        <w:tc>
          <w:tcPr>
            <w:tcW w:w="2121" w:type="dxa"/>
            <w:tcBorders>
              <w:top w:val="nil"/>
              <w:left w:val="nil"/>
              <w:bottom w:val="double" w:sz="6" w:space="0" w:color="808080"/>
              <w:right w:val="single" w:sz="12" w:space="0" w:color="FFFFFF"/>
            </w:tcBorders>
            <w:shd w:val="clear" w:color="000000" w:fill="D4C19C"/>
            <w:vAlign w:val="center"/>
            <w:hideMark/>
          </w:tcPr>
          <w:p w14:paraId="359A69FC" w14:textId="77777777" w:rsidR="00EB55B1" w:rsidRPr="00EB55B1" w:rsidRDefault="00EB55B1" w:rsidP="00EB55B1">
            <w:pPr>
              <w:spacing w:after="0" w:line="240" w:lineRule="auto"/>
              <w:jc w:val="center"/>
              <w:rPr>
                <w:rFonts w:ascii="Montserrat" w:eastAsia="Times New Roman" w:hAnsi="Montserrat"/>
                <w:b/>
                <w:bCs/>
                <w:color w:val="FFFFFF"/>
                <w:sz w:val="16"/>
                <w:szCs w:val="16"/>
                <w:lang w:val="es-MX" w:eastAsia="es-MX"/>
              </w:rPr>
            </w:pPr>
            <w:r w:rsidRPr="00EB55B1">
              <w:rPr>
                <w:rFonts w:ascii="Montserrat" w:eastAsia="Times New Roman" w:hAnsi="Montserrat"/>
                <w:b/>
                <w:bCs/>
                <w:color w:val="FFFFFF"/>
                <w:sz w:val="16"/>
                <w:szCs w:val="16"/>
                <w:lang w:val="es-MX" w:eastAsia="es-MX"/>
              </w:rPr>
              <w:t>2022</w:t>
            </w:r>
          </w:p>
        </w:tc>
        <w:tc>
          <w:tcPr>
            <w:tcW w:w="2098" w:type="dxa"/>
            <w:tcBorders>
              <w:top w:val="nil"/>
              <w:left w:val="nil"/>
              <w:bottom w:val="double" w:sz="6" w:space="0" w:color="808080"/>
              <w:right w:val="single" w:sz="12" w:space="0" w:color="FFFFFF"/>
            </w:tcBorders>
            <w:shd w:val="clear" w:color="000000" w:fill="D4C19C"/>
            <w:vAlign w:val="center"/>
            <w:hideMark/>
          </w:tcPr>
          <w:p w14:paraId="7FE0AB3B" w14:textId="77777777" w:rsidR="00EB55B1" w:rsidRPr="00EB55B1" w:rsidRDefault="00EB55B1" w:rsidP="00EB55B1">
            <w:pPr>
              <w:spacing w:after="0" w:line="240" w:lineRule="auto"/>
              <w:jc w:val="center"/>
              <w:rPr>
                <w:rFonts w:ascii="Montserrat" w:eastAsia="Times New Roman" w:hAnsi="Montserrat"/>
                <w:b/>
                <w:bCs/>
                <w:color w:val="FFFFFF"/>
                <w:sz w:val="16"/>
                <w:szCs w:val="16"/>
                <w:lang w:val="es-MX" w:eastAsia="es-MX"/>
              </w:rPr>
            </w:pPr>
            <w:r w:rsidRPr="00EB55B1">
              <w:rPr>
                <w:rFonts w:ascii="Montserrat" w:eastAsia="Times New Roman" w:hAnsi="Montserrat"/>
                <w:b/>
                <w:bCs/>
                <w:color w:val="FFFFFF"/>
                <w:sz w:val="16"/>
                <w:szCs w:val="16"/>
                <w:lang w:val="es-MX" w:eastAsia="es-MX"/>
              </w:rPr>
              <w:t>2021</w:t>
            </w:r>
          </w:p>
        </w:tc>
      </w:tr>
      <w:tr w:rsidR="00EB55B1" w:rsidRPr="00EB55B1" w14:paraId="31582CC5" w14:textId="77777777" w:rsidTr="00EB55B1">
        <w:trPr>
          <w:trHeight w:val="254"/>
          <w:jc w:val="center"/>
        </w:trPr>
        <w:tc>
          <w:tcPr>
            <w:tcW w:w="5907" w:type="dxa"/>
            <w:tcBorders>
              <w:top w:val="nil"/>
              <w:left w:val="nil"/>
              <w:bottom w:val="nil"/>
              <w:right w:val="nil"/>
            </w:tcBorders>
            <w:shd w:val="clear" w:color="000000" w:fill="F2F2F2"/>
            <w:vAlign w:val="center"/>
            <w:hideMark/>
          </w:tcPr>
          <w:p w14:paraId="08AF7378"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 xml:space="preserve">Productos Químicos, Farmacéuticos y de Laboratorio  </w:t>
            </w:r>
          </w:p>
        </w:tc>
        <w:tc>
          <w:tcPr>
            <w:tcW w:w="2121" w:type="dxa"/>
            <w:tcBorders>
              <w:top w:val="nil"/>
              <w:left w:val="nil"/>
              <w:bottom w:val="nil"/>
              <w:right w:val="nil"/>
            </w:tcBorders>
            <w:shd w:val="clear" w:color="000000" w:fill="F2F2F2"/>
            <w:vAlign w:val="center"/>
            <w:hideMark/>
          </w:tcPr>
          <w:p w14:paraId="4DED70C0"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15,511,113,607.0</w:t>
            </w:r>
          </w:p>
        </w:tc>
        <w:tc>
          <w:tcPr>
            <w:tcW w:w="2098" w:type="dxa"/>
            <w:tcBorders>
              <w:top w:val="nil"/>
              <w:left w:val="nil"/>
              <w:bottom w:val="nil"/>
              <w:right w:val="nil"/>
            </w:tcBorders>
            <w:shd w:val="clear" w:color="000000" w:fill="F2F2F2"/>
            <w:vAlign w:val="center"/>
            <w:hideMark/>
          </w:tcPr>
          <w:p w14:paraId="290B4B65"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17,520,838,123.6</w:t>
            </w:r>
          </w:p>
        </w:tc>
      </w:tr>
      <w:tr w:rsidR="00EB55B1" w:rsidRPr="00EB55B1" w14:paraId="448AE51D" w14:textId="77777777" w:rsidTr="00EB55B1">
        <w:trPr>
          <w:trHeight w:val="242"/>
          <w:jc w:val="center"/>
        </w:trPr>
        <w:tc>
          <w:tcPr>
            <w:tcW w:w="5907" w:type="dxa"/>
            <w:tcBorders>
              <w:top w:val="nil"/>
              <w:left w:val="nil"/>
              <w:bottom w:val="nil"/>
              <w:right w:val="nil"/>
            </w:tcBorders>
            <w:shd w:val="clear" w:color="000000" w:fill="F2F2F2"/>
            <w:vAlign w:val="center"/>
            <w:hideMark/>
          </w:tcPr>
          <w:p w14:paraId="1EBA5B8F"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Vestuario, Blancos, Prendas de Protección y Artículos Deportivos</w:t>
            </w:r>
          </w:p>
        </w:tc>
        <w:tc>
          <w:tcPr>
            <w:tcW w:w="2121" w:type="dxa"/>
            <w:tcBorders>
              <w:top w:val="nil"/>
              <w:left w:val="nil"/>
              <w:bottom w:val="nil"/>
              <w:right w:val="nil"/>
            </w:tcBorders>
            <w:shd w:val="clear" w:color="000000" w:fill="F2F2F2"/>
            <w:vAlign w:val="center"/>
            <w:hideMark/>
          </w:tcPr>
          <w:p w14:paraId="6E573631"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692,273,051.2</w:t>
            </w:r>
          </w:p>
        </w:tc>
        <w:tc>
          <w:tcPr>
            <w:tcW w:w="2098" w:type="dxa"/>
            <w:tcBorders>
              <w:top w:val="nil"/>
              <w:left w:val="nil"/>
              <w:bottom w:val="nil"/>
              <w:right w:val="nil"/>
            </w:tcBorders>
            <w:shd w:val="clear" w:color="000000" w:fill="F2F2F2"/>
            <w:vAlign w:val="center"/>
            <w:hideMark/>
          </w:tcPr>
          <w:p w14:paraId="22C6ED50"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1,176,083,265.6</w:t>
            </w:r>
          </w:p>
        </w:tc>
      </w:tr>
      <w:tr w:rsidR="00EB55B1" w:rsidRPr="00EB55B1" w14:paraId="5A2EF627" w14:textId="77777777" w:rsidTr="00EB55B1">
        <w:trPr>
          <w:trHeight w:val="242"/>
          <w:jc w:val="center"/>
        </w:trPr>
        <w:tc>
          <w:tcPr>
            <w:tcW w:w="5907" w:type="dxa"/>
            <w:tcBorders>
              <w:top w:val="nil"/>
              <w:left w:val="nil"/>
              <w:bottom w:val="nil"/>
              <w:right w:val="nil"/>
            </w:tcBorders>
            <w:shd w:val="clear" w:color="000000" w:fill="F2F2F2"/>
            <w:vAlign w:val="center"/>
            <w:hideMark/>
          </w:tcPr>
          <w:p w14:paraId="1F845537"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Almacenes en Tránsito y Otros</w:t>
            </w:r>
          </w:p>
        </w:tc>
        <w:tc>
          <w:tcPr>
            <w:tcW w:w="2121" w:type="dxa"/>
            <w:tcBorders>
              <w:top w:val="nil"/>
              <w:left w:val="nil"/>
              <w:bottom w:val="nil"/>
              <w:right w:val="nil"/>
            </w:tcBorders>
            <w:shd w:val="clear" w:color="000000" w:fill="F2F2F2"/>
            <w:vAlign w:val="center"/>
            <w:hideMark/>
          </w:tcPr>
          <w:p w14:paraId="32C5E3FE"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1,150,280,832.5</w:t>
            </w:r>
          </w:p>
        </w:tc>
        <w:tc>
          <w:tcPr>
            <w:tcW w:w="2098" w:type="dxa"/>
            <w:tcBorders>
              <w:top w:val="nil"/>
              <w:left w:val="nil"/>
              <w:bottom w:val="nil"/>
              <w:right w:val="nil"/>
            </w:tcBorders>
            <w:shd w:val="clear" w:color="000000" w:fill="F2F2F2"/>
            <w:vAlign w:val="center"/>
            <w:hideMark/>
          </w:tcPr>
          <w:p w14:paraId="6CC845E9"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717,527,749.0</w:t>
            </w:r>
          </w:p>
        </w:tc>
      </w:tr>
      <w:tr w:rsidR="00EB55B1" w:rsidRPr="00EB55B1" w14:paraId="73309A04" w14:textId="77777777" w:rsidTr="00EB55B1">
        <w:trPr>
          <w:trHeight w:val="314"/>
          <w:jc w:val="center"/>
        </w:trPr>
        <w:tc>
          <w:tcPr>
            <w:tcW w:w="5907" w:type="dxa"/>
            <w:tcBorders>
              <w:top w:val="nil"/>
              <w:left w:val="nil"/>
              <w:bottom w:val="nil"/>
              <w:right w:val="nil"/>
            </w:tcBorders>
            <w:shd w:val="clear" w:color="000000" w:fill="F2F2F2"/>
            <w:vAlign w:val="center"/>
            <w:hideMark/>
          </w:tcPr>
          <w:p w14:paraId="56A60F68"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Materiales de Administración, Emisión de Documentos y Artículos Oficiales</w:t>
            </w:r>
          </w:p>
        </w:tc>
        <w:tc>
          <w:tcPr>
            <w:tcW w:w="2121" w:type="dxa"/>
            <w:tcBorders>
              <w:top w:val="nil"/>
              <w:left w:val="nil"/>
              <w:bottom w:val="nil"/>
              <w:right w:val="nil"/>
            </w:tcBorders>
            <w:shd w:val="clear" w:color="000000" w:fill="F2F2F2"/>
            <w:vAlign w:val="center"/>
            <w:hideMark/>
          </w:tcPr>
          <w:p w14:paraId="3BA9EF6F"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386,461,356.0</w:t>
            </w:r>
          </w:p>
        </w:tc>
        <w:tc>
          <w:tcPr>
            <w:tcW w:w="2098" w:type="dxa"/>
            <w:tcBorders>
              <w:top w:val="nil"/>
              <w:left w:val="nil"/>
              <w:bottom w:val="nil"/>
              <w:right w:val="nil"/>
            </w:tcBorders>
            <w:shd w:val="clear" w:color="000000" w:fill="F2F2F2"/>
            <w:vAlign w:val="center"/>
            <w:hideMark/>
          </w:tcPr>
          <w:p w14:paraId="01534953"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673,256,647.9</w:t>
            </w:r>
          </w:p>
        </w:tc>
      </w:tr>
      <w:tr w:rsidR="00EB55B1" w:rsidRPr="00EB55B1" w14:paraId="73A4D13C" w14:textId="77777777" w:rsidTr="00EB55B1">
        <w:trPr>
          <w:trHeight w:val="242"/>
          <w:jc w:val="center"/>
        </w:trPr>
        <w:tc>
          <w:tcPr>
            <w:tcW w:w="5907" w:type="dxa"/>
            <w:tcBorders>
              <w:top w:val="nil"/>
              <w:left w:val="nil"/>
              <w:bottom w:val="nil"/>
              <w:right w:val="nil"/>
            </w:tcBorders>
            <w:shd w:val="clear" w:color="000000" w:fill="F2F2F2"/>
            <w:vAlign w:val="center"/>
            <w:hideMark/>
          </w:tcPr>
          <w:p w14:paraId="2A917362"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Herramientas, Refacciones y Accesorios Menores para Consumo</w:t>
            </w:r>
          </w:p>
        </w:tc>
        <w:tc>
          <w:tcPr>
            <w:tcW w:w="2121" w:type="dxa"/>
            <w:tcBorders>
              <w:top w:val="nil"/>
              <w:left w:val="nil"/>
              <w:bottom w:val="nil"/>
              <w:right w:val="nil"/>
            </w:tcBorders>
            <w:shd w:val="clear" w:color="000000" w:fill="F2F2F2"/>
            <w:vAlign w:val="center"/>
            <w:hideMark/>
          </w:tcPr>
          <w:p w14:paraId="29043338"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637,026,558.9</w:t>
            </w:r>
          </w:p>
        </w:tc>
        <w:tc>
          <w:tcPr>
            <w:tcW w:w="2098" w:type="dxa"/>
            <w:tcBorders>
              <w:top w:val="nil"/>
              <w:left w:val="nil"/>
              <w:bottom w:val="nil"/>
              <w:right w:val="nil"/>
            </w:tcBorders>
            <w:shd w:val="clear" w:color="000000" w:fill="F2F2F2"/>
            <w:vAlign w:val="center"/>
            <w:hideMark/>
          </w:tcPr>
          <w:p w14:paraId="212DC329"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809,298,182.9</w:t>
            </w:r>
          </w:p>
        </w:tc>
      </w:tr>
      <w:tr w:rsidR="00EB55B1" w:rsidRPr="00EB55B1" w14:paraId="603FCAD2" w14:textId="77777777" w:rsidTr="00EB55B1">
        <w:trPr>
          <w:trHeight w:val="242"/>
          <w:jc w:val="center"/>
        </w:trPr>
        <w:tc>
          <w:tcPr>
            <w:tcW w:w="5907" w:type="dxa"/>
            <w:tcBorders>
              <w:top w:val="nil"/>
              <w:left w:val="nil"/>
              <w:bottom w:val="nil"/>
              <w:right w:val="nil"/>
            </w:tcBorders>
            <w:shd w:val="clear" w:color="000000" w:fill="F2F2F2"/>
            <w:vAlign w:val="center"/>
            <w:hideMark/>
          </w:tcPr>
          <w:p w14:paraId="14FBE6BB" w14:textId="77777777" w:rsidR="00EB55B1" w:rsidRPr="00EB55B1" w:rsidRDefault="00EB55B1" w:rsidP="00EB55B1">
            <w:pPr>
              <w:spacing w:after="0" w:line="240" w:lineRule="auto"/>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Alimentos y Utensilios</w:t>
            </w:r>
          </w:p>
        </w:tc>
        <w:tc>
          <w:tcPr>
            <w:tcW w:w="2121" w:type="dxa"/>
            <w:tcBorders>
              <w:top w:val="nil"/>
              <w:left w:val="nil"/>
              <w:bottom w:val="nil"/>
              <w:right w:val="nil"/>
            </w:tcBorders>
            <w:shd w:val="clear" w:color="000000" w:fill="F2F2F2"/>
            <w:vAlign w:val="center"/>
            <w:hideMark/>
          </w:tcPr>
          <w:p w14:paraId="1ECF5832"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8,295,117.8</w:t>
            </w:r>
          </w:p>
        </w:tc>
        <w:tc>
          <w:tcPr>
            <w:tcW w:w="2098" w:type="dxa"/>
            <w:tcBorders>
              <w:top w:val="nil"/>
              <w:left w:val="nil"/>
              <w:bottom w:val="nil"/>
              <w:right w:val="nil"/>
            </w:tcBorders>
            <w:shd w:val="clear" w:color="000000" w:fill="F2F2F2"/>
            <w:vAlign w:val="center"/>
            <w:hideMark/>
          </w:tcPr>
          <w:p w14:paraId="13773BDA" w14:textId="77777777" w:rsidR="00EB55B1" w:rsidRPr="00EB55B1" w:rsidRDefault="00EB55B1" w:rsidP="00EB55B1">
            <w:pPr>
              <w:spacing w:after="0" w:line="240" w:lineRule="auto"/>
              <w:jc w:val="right"/>
              <w:rPr>
                <w:rFonts w:ascii="Montserrat" w:eastAsia="Times New Roman" w:hAnsi="Montserrat"/>
                <w:color w:val="000000"/>
                <w:sz w:val="15"/>
                <w:szCs w:val="15"/>
                <w:lang w:val="es-MX" w:eastAsia="es-MX"/>
              </w:rPr>
            </w:pPr>
            <w:r w:rsidRPr="00EB55B1">
              <w:rPr>
                <w:rFonts w:ascii="Montserrat" w:eastAsia="Times New Roman" w:hAnsi="Montserrat"/>
                <w:color w:val="000000"/>
                <w:sz w:val="15"/>
                <w:szCs w:val="15"/>
                <w:lang w:val="es-MX" w:eastAsia="es-MX"/>
              </w:rPr>
              <w:t>8,951,591.8</w:t>
            </w:r>
          </w:p>
        </w:tc>
      </w:tr>
      <w:tr w:rsidR="00EB55B1" w:rsidRPr="00EB55B1" w14:paraId="0FCB7440" w14:textId="77777777" w:rsidTr="00EB55B1">
        <w:trPr>
          <w:trHeight w:val="254"/>
          <w:jc w:val="center"/>
        </w:trPr>
        <w:tc>
          <w:tcPr>
            <w:tcW w:w="5907" w:type="dxa"/>
            <w:tcBorders>
              <w:top w:val="nil"/>
              <w:left w:val="nil"/>
              <w:bottom w:val="single" w:sz="12" w:space="0" w:color="808080"/>
              <w:right w:val="nil"/>
            </w:tcBorders>
            <w:shd w:val="clear" w:color="000000" w:fill="F2F2F2"/>
            <w:vAlign w:val="center"/>
            <w:hideMark/>
          </w:tcPr>
          <w:p w14:paraId="0A54D613" w14:textId="77777777" w:rsidR="00EB55B1" w:rsidRPr="00EB55B1" w:rsidRDefault="00EB55B1" w:rsidP="00EB55B1">
            <w:pPr>
              <w:spacing w:after="0" w:line="240" w:lineRule="auto"/>
              <w:rPr>
                <w:rFonts w:ascii="Montserrat" w:eastAsia="Times New Roman" w:hAnsi="Montserrat"/>
                <w:b/>
                <w:bCs/>
                <w:color w:val="000000"/>
                <w:sz w:val="15"/>
                <w:szCs w:val="15"/>
                <w:lang w:val="es-MX" w:eastAsia="es-MX"/>
              </w:rPr>
            </w:pPr>
            <w:r w:rsidRPr="00EB55B1">
              <w:rPr>
                <w:rFonts w:ascii="Montserrat" w:eastAsia="Times New Roman" w:hAnsi="Montserrat"/>
                <w:b/>
                <w:bCs/>
                <w:color w:val="000000"/>
                <w:sz w:val="15"/>
                <w:szCs w:val="15"/>
                <w:lang w:val="es-MX" w:eastAsia="es-MX"/>
              </w:rPr>
              <w:t>Total Almacenes</w:t>
            </w:r>
          </w:p>
        </w:tc>
        <w:tc>
          <w:tcPr>
            <w:tcW w:w="2121" w:type="dxa"/>
            <w:tcBorders>
              <w:top w:val="nil"/>
              <w:left w:val="nil"/>
              <w:bottom w:val="single" w:sz="12" w:space="0" w:color="808080"/>
              <w:right w:val="nil"/>
            </w:tcBorders>
            <w:shd w:val="clear" w:color="000000" w:fill="F2F2F2"/>
            <w:vAlign w:val="center"/>
            <w:hideMark/>
          </w:tcPr>
          <w:p w14:paraId="73A54D13" w14:textId="77777777" w:rsidR="00EB55B1" w:rsidRPr="00EB55B1" w:rsidRDefault="00EB55B1" w:rsidP="00EB55B1">
            <w:pPr>
              <w:spacing w:after="0" w:line="240" w:lineRule="auto"/>
              <w:jc w:val="right"/>
              <w:rPr>
                <w:rFonts w:ascii="Montserrat" w:eastAsia="Times New Roman" w:hAnsi="Montserrat"/>
                <w:b/>
                <w:bCs/>
                <w:color w:val="000000"/>
                <w:sz w:val="15"/>
                <w:szCs w:val="15"/>
                <w:lang w:val="es-MX" w:eastAsia="es-MX"/>
              </w:rPr>
            </w:pPr>
            <w:r w:rsidRPr="00EB55B1">
              <w:rPr>
                <w:rFonts w:ascii="Montserrat" w:eastAsia="Times New Roman" w:hAnsi="Montserrat"/>
                <w:b/>
                <w:bCs/>
                <w:color w:val="000000"/>
                <w:sz w:val="15"/>
                <w:szCs w:val="15"/>
                <w:lang w:val="es-MX" w:eastAsia="es-MX"/>
              </w:rPr>
              <w:t>18,385,450,523.</w:t>
            </w:r>
            <w:r w:rsidR="00DB277C">
              <w:rPr>
                <w:rFonts w:ascii="Montserrat" w:eastAsia="Times New Roman" w:hAnsi="Montserrat"/>
                <w:b/>
                <w:bCs/>
                <w:color w:val="000000"/>
                <w:sz w:val="15"/>
                <w:szCs w:val="15"/>
                <w:lang w:val="es-MX" w:eastAsia="es-MX"/>
              </w:rPr>
              <w:t>4</w:t>
            </w:r>
          </w:p>
        </w:tc>
        <w:tc>
          <w:tcPr>
            <w:tcW w:w="2098" w:type="dxa"/>
            <w:tcBorders>
              <w:top w:val="nil"/>
              <w:left w:val="nil"/>
              <w:bottom w:val="single" w:sz="12" w:space="0" w:color="808080"/>
              <w:right w:val="nil"/>
            </w:tcBorders>
            <w:shd w:val="clear" w:color="000000" w:fill="F2F2F2"/>
            <w:vAlign w:val="center"/>
            <w:hideMark/>
          </w:tcPr>
          <w:p w14:paraId="278AB842" w14:textId="77777777" w:rsidR="00EB55B1" w:rsidRPr="00EB55B1" w:rsidRDefault="00EB55B1" w:rsidP="00EB55B1">
            <w:pPr>
              <w:spacing w:after="0" w:line="240" w:lineRule="auto"/>
              <w:jc w:val="right"/>
              <w:rPr>
                <w:rFonts w:ascii="Montserrat" w:eastAsia="Times New Roman" w:hAnsi="Montserrat"/>
                <w:b/>
                <w:bCs/>
                <w:color w:val="000000"/>
                <w:sz w:val="15"/>
                <w:szCs w:val="15"/>
                <w:lang w:val="es-MX" w:eastAsia="es-MX"/>
              </w:rPr>
            </w:pPr>
            <w:r w:rsidRPr="00EB55B1">
              <w:rPr>
                <w:rFonts w:ascii="Montserrat" w:eastAsia="Times New Roman" w:hAnsi="Montserrat"/>
                <w:b/>
                <w:bCs/>
                <w:color w:val="000000"/>
                <w:sz w:val="15"/>
                <w:szCs w:val="15"/>
                <w:lang w:val="es-MX" w:eastAsia="es-MX"/>
              </w:rPr>
              <w:t>20,905,955,560.8</w:t>
            </w:r>
          </w:p>
        </w:tc>
      </w:tr>
    </w:tbl>
    <w:p w14:paraId="0B377E8A" w14:textId="77777777" w:rsidR="00EB55B1" w:rsidRDefault="00EB55B1" w:rsidP="005725BA">
      <w:pPr>
        <w:pStyle w:val="TEXTONORMAL"/>
        <w:rPr>
          <w:lang w:val="es-MX"/>
        </w:rPr>
      </w:pPr>
    </w:p>
    <w:p w14:paraId="6AFE2BF4" w14:textId="77777777" w:rsidR="009D5C48" w:rsidRDefault="009D5C48" w:rsidP="005725BA">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33E915D8" w14:textId="77777777" w:rsidR="0065416E" w:rsidRDefault="0065416E" w:rsidP="005725BA">
      <w:pPr>
        <w:pStyle w:val="TEXTONORMAL"/>
        <w:rPr>
          <w:lang w:val="es-MX"/>
        </w:rPr>
      </w:pPr>
    </w:p>
    <w:p w14:paraId="0FF7D005" w14:textId="77777777" w:rsidR="009D5C48" w:rsidRPr="00120C31" w:rsidRDefault="005F6F21" w:rsidP="003F2A12">
      <w:pPr>
        <w:pStyle w:val="VIETAFLECHA"/>
        <w:numPr>
          <w:ilvl w:val="1"/>
          <w:numId w:val="11"/>
        </w:numPr>
        <w:ind w:left="357" w:hanging="357"/>
      </w:pPr>
      <w:r w:rsidRPr="008142BE">
        <w:rPr>
          <w:b/>
        </w:rPr>
        <w:t>1.6</w:t>
      </w:r>
      <w:r>
        <w:t xml:space="preserve"> </w:t>
      </w:r>
      <w:r w:rsidR="009D5C48" w:rsidRPr="00120C31">
        <w:t>Estimación por Pérdida o Deterioro de Activos Circulantes</w:t>
      </w:r>
    </w:p>
    <w:p w14:paraId="30F40D69" w14:textId="77777777" w:rsidR="009D5C48" w:rsidRDefault="00705C5F" w:rsidP="005725BA">
      <w:pPr>
        <w:pStyle w:val="TEXTONORMAL"/>
        <w:rPr>
          <w:lang w:val="es-MX"/>
        </w:rPr>
      </w:pPr>
      <w:r>
        <w:t>Al 30 de septiembre</w:t>
      </w:r>
      <w:r w:rsidR="00F036B7">
        <w:t xml:space="preserve"> de 2022</w:t>
      </w:r>
      <w:r w:rsidR="00F036B7" w:rsidRPr="000B2CE4">
        <w:t xml:space="preserve"> y</w:t>
      </w:r>
      <w:r w:rsidR="009652D5">
        <w:t xml:space="preserve"> al</w:t>
      </w:r>
      <w:r w:rsidR="00F036B7" w:rsidRPr="000B2CE4">
        <w:t xml:space="preserve"> </w:t>
      </w:r>
      <w:r w:rsidR="00F036B7">
        <w:t>31 de diciembre de 2021</w:t>
      </w:r>
      <w:r w:rsidR="009D5C48" w:rsidRPr="00AE31AE">
        <w:rPr>
          <w:lang w:val="es-MX"/>
        </w:rPr>
        <w:t>, el rubro de Estimación por Pérdida o Deterioro de Activos Circulantes se integra de la siguiente manera:</w:t>
      </w:r>
    </w:p>
    <w:p w14:paraId="1DB33476" w14:textId="77777777" w:rsidR="009679B9" w:rsidRDefault="009679B9" w:rsidP="005725BA">
      <w:pPr>
        <w:pStyle w:val="TEXTONORMAL"/>
        <w:rPr>
          <w:lang w:val="es-MX"/>
        </w:rPr>
      </w:pPr>
    </w:p>
    <w:tbl>
      <w:tblPr>
        <w:tblW w:w="9495" w:type="dxa"/>
        <w:jc w:val="center"/>
        <w:tblCellMar>
          <w:left w:w="70" w:type="dxa"/>
          <w:right w:w="70" w:type="dxa"/>
        </w:tblCellMar>
        <w:tblLook w:val="04A0" w:firstRow="1" w:lastRow="0" w:firstColumn="1" w:lastColumn="0" w:noHBand="0" w:noVBand="1"/>
      </w:tblPr>
      <w:tblGrid>
        <w:gridCol w:w="5539"/>
        <w:gridCol w:w="1989"/>
        <w:gridCol w:w="1967"/>
      </w:tblGrid>
      <w:tr w:rsidR="009679B9" w:rsidRPr="009679B9" w14:paraId="5A8FBED1" w14:textId="77777777" w:rsidTr="009679B9">
        <w:trPr>
          <w:trHeight w:val="251"/>
          <w:jc w:val="center"/>
        </w:trPr>
        <w:tc>
          <w:tcPr>
            <w:tcW w:w="553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EF058FF" w14:textId="77777777" w:rsidR="009679B9" w:rsidRPr="009679B9" w:rsidRDefault="009679B9" w:rsidP="009679B9">
            <w:pPr>
              <w:spacing w:after="0" w:line="240" w:lineRule="auto"/>
              <w:jc w:val="center"/>
              <w:rPr>
                <w:rFonts w:ascii="Montserrat" w:eastAsia="Times New Roman" w:hAnsi="Montserrat"/>
                <w:b/>
                <w:bCs/>
                <w:color w:val="FFFFFF"/>
                <w:sz w:val="16"/>
                <w:szCs w:val="16"/>
                <w:lang w:val="es-MX" w:eastAsia="es-MX"/>
              </w:rPr>
            </w:pPr>
            <w:r w:rsidRPr="009679B9">
              <w:rPr>
                <w:rFonts w:ascii="Montserrat" w:eastAsia="Times New Roman" w:hAnsi="Montserrat"/>
                <w:b/>
                <w:bCs/>
                <w:color w:val="FFFFFF"/>
                <w:sz w:val="16"/>
                <w:szCs w:val="16"/>
                <w:lang w:val="es-MX" w:eastAsia="es-MX"/>
              </w:rPr>
              <w:t>Concepto</w:t>
            </w:r>
          </w:p>
        </w:tc>
        <w:tc>
          <w:tcPr>
            <w:tcW w:w="395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5932F70" w14:textId="77777777" w:rsidR="009679B9" w:rsidRPr="009679B9" w:rsidRDefault="009679B9" w:rsidP="009679B9">
            <w:pPr>
              <w:spacing w:after="0" w:line="240" w:lineRule="auto"/>
              <w:jc w:val="center"/>
              <w:rPr>
                <w:rFonts w:ascii="Montserrat" w:eastAsia="Times New Roman" w:hAnsi="Montserrat"/>
                <w:b/>
                <w:bCs/>
                <w:color w:val="FFFFFF"/>
                <w:sz w:val="16"/>
                <w:szCs w:val="16"/>
                <w:lang w:val="es-MX" w:eastAsia="es-MX"/>
              </w:rPr>
            </w:pPr>
            <w:r w:rsidRPr="009679B9">
              <w:rPr>
                <w:rFonts w:ascii="Montserrat" w:eastAsia="Times New Roman" w:hAnsi="Montserrat"/>
                <w:b/>
                <w:bCs/>
                <w:color w:val="FFFFFF"/>
                <w:sz w:val="16"/>
                <w:szCs w:val="16"/>
                <w:lang w:val="es-MX" w:eastAsia="es-MX"/>
              </w:rPr>
              <w:t>Cifras en pesos</w:t>
            </w:r>
          </w:p>
        </w:tc>
      </w:tr>
      <w:tr w:rsidR="009679B9" w:rsidRPr="009679B9" w14:paraId="33F924AB" w14:textId="77777777" w:rsidTr="009679B9">
        <w:trPr>
          <w:trHeight w:val="251"/>
          <w:jc w:val="center"/>
        </w:trPr>
        <w:tc>
          <w:tcPr>
            <w:tcW w:w="5539" w:type="dxa"/>
            <w:vMerge/>
            <w:tcBorders>
              <w:top w:val="single" w:sz="12" w:space="0" w:color="808080"/>
              <w:left w:val="nil"/>
              <w:bottom w:val="double" w:sz="6" w:space="0" w:color="808080"/>
              <w:right w:val="single" w:sz="12" w:space="0" w:color="FFFFFF"/>
            </w:tcBorders>
            <w:vAlign w:val="center"/>
            <w:hideMark/>
          </w:tcPr>
          <w:p w14:paraId="57983DAD" w14:textId="77777777" w:rsidR="009679B9" w:rsidRPr="009679B9" w:rsidRDefault="009679B9" w:rsidP="009679B9">
            <w:pPr>
              <w:spacing w:after="0" w:line="240" w:lineRule="auto"/>
              <w:rPr>
                <w:rFonts w:ascii="Montserrat" w:eastAsia="Times New Roman" w:hAnsi="Montserrat"/>
                <w:b/>
                <w:bCs/>
                <w:color w:val="FFFFFF"/>
                <w:sz w:val="16"/>
                <w:szCs w:val="16"/>
                <w:lang w:val="es-MX" w:eastAsia="es-MX"/>
              </w:rPr>
            </w:pPr>
          </w:p>
        </w:tc>
        <w:tc>
          <w:tcPr>
            <w:tcW w:w="1989" w:type="dxa"/>
            <w:tcBorders>
              <w:top w:val="nil"/>
              <w:left w:val="nil"/>
              <w:bottom w:val="double" w:sz="6" w:space="0" w:color="808080"/>
              <w:right w:val="single" w:sz="12" w:space="0" w:color="FFFFFF"/>
            </w:tcBorders>
            <w:shd w:val="clear" w:color="000000" w:fill="D4C19C"/>
            <w:vAlign w:val="center"/>
            <w:hideMark/>
          </w:tcPr>
          <w:p w14:paraId="06830951" w14:textId="77777777" w:rsidR="009679B9" w:rsidRPr="009679B9" w:rsidRDefault="009679B9" w:rsidP="009679B9">
            <w:pPr>
              <w:spacing w:after="0" w:line="240" w:lineRule="auto"/>
              <w:jc w:val="center"/>
              <w:rPr>
                <w:rFonts w:ascii="Montserrat" w:eastAsia="Times New Roman" w:hAnsi="Montserrat"/>
                <w:b/>
                <w:bCs/>
                <w:color w:val="FFFFFF"/>
                <w:sz w:val="16"/>
                <w:szCs w:val="16"/>
                <w:lang w:val="es-MX" w:eastAsia="es-MX"/>
              </w:rPr>
            </w:pPr>
            <w:r w:rsidRPr="009679B9">
              <w:rPr>
                <w:rFonts w:ascii="Montserrat" w:eastAsia="Times New Roman" w:hAnsi="Montserrat"/>
                <w:b/>
                <w:bCs/>
                <w:color w:val="FFFFFF"/>
                <w:sz w:val="16"/>
                <w:szCs w:val="16"/>
                <w:lang w:val="es-MX" w:eastAsia="es-MX"/>
              </w:rPr>
              <w:t>2022</w:t>
            </w:r>
          </w:p>
        </w:tc>
        <w:tc>
          <w:tcPr>
            <w:tcW w:w="1967" w:type="dxa"/>
            <w:tcBorders>
              <w:top w:val="nil"/>
              <w:left w:val="nil"/>
              <w:bottom w:val="double" w:sz="6" w:space="0" w:color="808080"/>
              <w:right w:val="single" w:sz="12" w:space="0" w:color="FFFFFF"/>
            </w:tcBorders>
            <w:shd w:val="clear" w:color="000000" w:fill="D4C19C"/>
            <w:vAlign w:val="center"/>
            <w:hideMark/>
          </w:tcPr>
          <w:p w14:paraId="6C091861" w14:textId="77777777" w:rsidR="009679B9" w:rsidRPr="009679B9" w:rsidRDefault="009679B9" w:rsidP="009679B9">
            <w:pPr>
              <w:spacing w:after="0" w:line="240" w:lineRule="auto"/>
              <w:jc w:val="center"/>
              <w:rPr>
                <w:rFonts w:ascii="Montserrat" w:eastAsia="Times New Roman" w:hAnsi="Montserrat"/>
                <w:b/>
                <w:bCs/>
                <w:color w:val="FFFFFF"/>
                <w:sz w:val="16"/>
                <w:szCs w:val="16"/>
                <w:lang w:val="es-MX" w:eastAsia="es-MX"/>
              </w:rPr>
            </w:pPr>
            <w:r w:rsidRPr="009679B9">
              <w:rPr>
                <w:rFonts w:ascii="Montserrat" w:eastAsia="Times New Roman" w:hAnsi="Montserrat"/>
                <w:b/>
                <w:bCs/>
                <w:color w:val="FFFFFF"/>
                <w:sz w:val="16"/>
                <w:szCs w:val="16"/>
                <w:lang w:val="es-MX" w:eastAsia="es-MX"/>
              </w:rPr>
              <w:t>2021</w:t>
            </w:r>
          </w:p>
        </w:tc>
      </w:tr>
      <w:tr w:rsidR="009679B9" w:rsidRPr="009679B9" w14:paraId="68D63533" w14:textId="77777777" w:rsidTr="009679B9">
        <w:trPr>
          <w:trHeight w:val="240"/>
          <w:jc w:val="center"/>
        </w:trPr>
        <w:tc>
          <w:tcPr>
            <w:tcW w:w="5539" w:type="dxa"/>
            <w:tcBorders>
              <w:top w:val="nil"/>
              <w:left w:val="nil"/>
              <w:bottom w:val="nil"/>
              <w:right w:val="nil"/>
            </w:tcBorders>
            <w:shd w:val="clear" w:color="000000" w:fill="F2F2F2"/>
            <w:vAlign w:val="center"/>
            <w:hideMark/>
          </w:tcPr>
          <w:p w14:paraId="78008F75" w14:textId="77777777" w:rsidR="009679B9" w:rsidRPr="009679B9" w:rsidRDefault="009679B9" w:rsidP="009679B9">
            <w:pPr>
              <w:spacing w:after="0" w:line="240" w:lineRule="auto"/>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 xml:space="preserve">Cuotas Obrero Patronales </w:t>
            </w:r>
          </w:p>
        </w:tc>
        <w:tc>
          <w:tcPr>
            <w:tcW w:w="1989" w:type="dxa"/>
            <w:tcBorders>
              <w:top w:val="nil"/>
              <w:left w:val="nil"/>
              <w:bottom w:val="nil"/>
              <w:right w:val="nil"/>
            </w:tcBorders>
            <w:shd w:val="clear" w:color="000000" w:fill="F2F2F2"/>
            <w:vAlign w:val="center"/>
            <w:hideMark/>
          </w:tcPr>
          <w:p w14:paraId="488C6574"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-24,663,322,365.2</w:t>
            </w:r>
          </w:p>
        </w:tc>
        <w:tc>
          <w:tcPr>
            <w:tcW w:w="1967" w:type="dxa"/>
            <w:tcBorders>
              <w:top w:val="nil"/>
              <w:left w:val="nil"/>
              <w:bottom w:val="nil"/>
              <w:right w:val="nil"/>
            </w:tcBorders>
            <w:shd w:val="clear" w:color="000000" w:fill="F2F2F2"/>
            <w:vAlign w:val="center"/>
            <w:hideMark/>
          </w:tcPr>
          <w:p w14:paraId="4D1CE6FC"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-22,105,458,531.8</w:t>
            </w:r>
          </w:p>
        </w:tc>
      </w:tr>
      <w:tr w:rsidR="009679B9" w:rsidRPr="009679B9" w14:paraId="2CD0C4F0" w14:textId="77777777" w:rsidTr="009679B9">
        <w:trPr>
          <w:trHeight w:val="228"/>
          <w:jc w:val="center"/>
        </w:trPr>
        <w:tc>
          <w:tcPr>
            <w:tcW w:w="5539" w:type="dxa"/>
            <w:tcBorders>
              <w:top w:val="nil"/>
              <w:left w:val="nil"/>
              <w:bottom w:val="nil"/>
              <w:right w:val="nil"/>
            </w:tcBorders>
            <w:shd w:val="clear" w:color="000000" w:fill="F2F2F2"/>
            <w:vAlign w:val="center"/>
            <w:hideMark/>
          </w:tcPr>
          <w:p w14:paraId="7CC3D5B1" w14:textId="77777777" w:rsidR="009679B9" w:rsidRPr="009679B9" w:rsidRDefault="009679B9" w:rsidP="009679B9">
            <w:pPr>
              <w:spacing w:after="0" w:line="240" w:lineRule="auto"/>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 xml:space="preserve">Multas de Cuotas Obrero Patronales </w:t>
            </w:r>
          </w:p>
        </w:tc>
        <w:tc>
          <w:tcPr>
            <w:tcW w:w="1989" w:type="dxa"/>
            <w:tcBorders>
              <w:top w:val="nil"/>
              <w:left w:val="nil"/>
              <w:bottom w:val="nil"/>
              <w:right w:val="nil"/>
            </w:tcBorders>
            <w:shd w:val="clear" w:color="000000" w:fill="F2F2F2"/>
            <w:vAlign w:val="center"/>
            <w:hideMark/>
          </w:tcPr>
          <w:p w14:paraId="7FE9E447"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-14,645,610,613.3</w:t>
            </w:r>
          </w:p>
        </w:tc>
        <w:tc>
          <w:tcPr>
            <w:tcW w:w="1967" w:type="dxa"/>
            <w:tcBorders>
              <w:top w:val="nil"/>
              <w:left w:val="nil"/>
              <w:bottom w:val="nil"/>
              <w:right w:val="nil"/>
            </w:tcBorders>
            <w:shd w:val="clear" w:color="000000" w:fill="F2F2F2"/>
            <w:vAlign w:val="center"/>
            <w:hideMark/>
          </w:tcPr>
          <w:p w14:paraId="4AE77719"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-14,524,923,294.3</w:t>
            </w:r>
          </w:p>
        </w:tc>
      </w:tr>
      <w:tr w:rsidR="009679B9" w:rsidRPr="009679B9" w14:paraId="21ED0493" w14:textId="77777777" w:rsidTr="009679B9">
        <w:trPr>
          <w:trHeight w:val="297"/>
          <w:jc w:val="center"/>
        </w:trPr>
        <w:tc>
          <w:tcPr>
            <w:tcW w:w="5539" w:type="dxa"/>
            <w:tcBorders>
              <w:top w:val="nil"/>
              <w:left w:val="nil"/>
              <w:bottom w:val="nil"/>
              <w:right w:val="nil"/>
            </w:tcBorders>
            <w:shd w:val="clear" w:color="000000" w:fill="F2F2F2"/>
            <w:vAlign w:val="center"/>
            <w:hideMark/>
          </w:tcPr>
          <w:p w14:paraId="601FF045" w14:textId="77777777" w:rsidR="009679B9" w:rsidRPr="009679B9" w:rsidRDefault="009679B9" w:rsidP="009679B9">
            <w:pPr>
              <w:spacing w:after="0" w:line="240" w:lineRule="auto"/>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 xml:space="preserve">Subtotal Estimaciones para Cuentas Incobrables Ingresos de Gestión </w:t>
            </w:r>
          </w:p>
        </w:tc>
        <w:tc>
          <w:tcPr>
            <w:tcW w:w="1989" w:type="dxa"/>
            <w:tcBorders>
              <w:top w:val="nil"/>
              <w:left w:val="nil"/>
              <w:bottom w:val="nil"/>
              <w:right w:val="nil"/>
            </w:tcBorders>
            <w:shd w:val="clear" w:color="000000" w:fill="F2F2F2"/>
            <w:vAlign w:val="center"/>
            <w:hideMark/>
          </w:tcPr>
          <w:p w14:paraId="4451730A"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-39,308,932,978.</w:t>
            </w:r>
            <w:r w:rsidR="004A71E7">
              <w:rPr>
                <w:rFonts w:ascii="Montserrat" w:eastAsia="Times New Roman" w:hAnsi="Montserrat"/>
                <w:b/>
                <w:bCs/>
                <w:color w:val="000000"/>
                <w:sz w:val="15"/>
                <w:szCs w:val="15"/>
                <w:lang w:val="es-MX" w:eastAsia="es-MX"/>
              </w:rPr>
              <w:t>5</w:t>
            </w:r>
          </w:p>
        </w:tc>
        <w:tc>
          <w:tcPr>
            <w:tcW w:w="1967" w:type="dxa"/>
            <w:tcBorders>
              <w:top w:val="nil"/>
              <w:left w:val="nil"/>
              <w:bottom w:val="nil"/>
              <w:right w:val="nil"/>
            </w:tcBorders>
            <w:shd w:val="clear" w:color="000000" w:fill="F2F2F2"/>
            <w:vAlign w:val="center"/>
            <w:hideMark/>
          </w:tcPr>
          <w:p w14:paraId="03B716A9"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-36,630,381,826.1</w:t>
            </w:r>
          </w:p>
        </w:tc>
      </w:tr>
      <w:tr w:rsidR="009679B9" w:rsidRPr="009679B9" w14:paraId="08A7A449" w14:textId="77777777" w:rsidTr="009679B9">
        <w:trPr>
          <w:trHeight w:val="228"/>
          <w:jc w:val="center"/>
        </w:trPr>
        <w:tc>
          <w:tcPr>
            <w:tcW w:w="5539" w:type="dxa"/>
            <w:tcBorders>
              <w:top w:val="nil"/>
              <w:left w:val="nil"/>
              <w:bottom w:val="nil"/>
              <w:right w:val="nil"/>
            </w:tcBorders>
            <w:shd w:val="clear" w:color="000000" w:fill="F2F2F2"/>
            <w:vAlign w:val="center"/>
            <w:hideMark/>
          </w:tcPr>
          <w:p w14:paraId="1CD53134" w14:textId="77777777" w:rsidR="009679B9" w:rsidRPr="009679B9" w:rsidRDefault="009679B9" w:rsidP="009679B9">
            <w:pPr>
              <w:spacing w:after="0" w:line="240" w:lineRule="auto"/>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 xml:space="preserve">Deudores Diversos </w:t>
            </w:r>
            <w:r w:rsidRPr="009679B9">
              <w:rPr>
                <w:rFonts w:ascii="Montserrat" w:eastAsia="Times New Roman" w:hAnsi="Montserrat"/>
                <w:b/>
                <w:bCs/>
                <w:color w:val="000000"/>
                <w:sz w:val="15"/>
                <w:szCs w:val="15"/>
                <w:lang w:val="es-MX" w:eastAsia="es-MX"/>
              </w:rPr>
              <w:t>(1.6.a)</w:t>
            </w:r>
          </w:p>
        </w:tc>
        <w:tc>
          <w:tcPr>
            <w:tcW w:w="1989" w:type="dxa"/>
            <w:tcBorders>
              <w:top w:val="nil"/>
              <w:left w:val="nil"/>
              <w:bottom w:val="nil"/>
              <w:right w:val="nil"/>
            </w:tcBorders>
            <w:shd w:val="clear" w:color="000000" w:fill="F2F2F2"/>
            <w:vAlign w:val="center"/>
            <w:hideMark/>
          </w:tcPr>
          <w:p w14:paraId="39CD5B67"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-2,875,383,968.0</w:t>
            </w:r>
          </w:p>
        </w:tc>
        <w:tc>
          <w:tcPr>
            <w:tcW w:w="1967" w:type="dxa"/>
            <w:tcBorders>
              <w:top w:val="nil"/>
              <w:left w:val="nil"/>
              <w:bottom w:val="nil"/>
              <w:right w:val="nil"/>
            </w:tcBorders>
            <w:shd w:val="clear" w:color="000000" w:fill="F2F2F2"/>
            <w:vAlign w:val="center"/>
            <w:hideMark/>
          </w:tcPr>
          <w:p w14:paraId="16384B26"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-2,688,628,934.6</w:t>
            </w:r>
          </w:p>
        </w:tc>
      </w:tr>
      <w:tr w:rsidR="009679B9" w:rsidRPr="009679B9" w14:paraId="114A657B" w14:textId="77777777" w:rsidTr="009679B9">
        <w:trPr>
          <w:trHeight w:val="297"/>
          <w:jc w:val="center"/>
        </w:trPr>
        <w:tc>
          <w:tcPr>
            <w:tcW w:w="5539" w:type="dxa"/>
            <w:tcBorders>
              <w:top w:val="nil"/>
              <w:left w:val="nil"/>
              <w:bottom w:val="nil"/>
              <w:right w:val="nil"/>
            </w:tcBorders>
            <w:shd w:val="clear" w:color="000000" w:fill="F2F2F2"/>
            <w:vAlign w:val="center"/>
            <w:hideMark/>
          </w:tcPr>
          <w:p w14:paraId="22562FD5" w14:textId="77777777" w:rsidR="009679B9" w:rsidRPr="009679B9" w:rsidRDefault="009679B9" w:rsidP="009679B9">
            <w:pPr>
              <w:spacing w:after="0" w:line="240" w:lineRule="auto"/>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 xml:space="preserve">Subtotal Estimaciones para Cuentas Incobrables por Derechos a Recibir Efectivo o Equivalentes </w:t>
            </w:r>
          </w:p>
        </w:tc>
        <w:tc>
          <w:tcPr>
            <w:tcW w:w="1989" w:type="dxa"/>
            <w:tcBorders>
              <w:top w:val="nil"/>
              <w:left w:val="nil"/>
              <w:bottom w:val="nil"/>
              <w:right w:val="nil"/>
            </w:tcBorders>
            <w:shd w:val="clear" w:color="000000" w:fill="F2F2F2"/>
            <w:vAlign w:val="center"/>
            <w:hideMark/>
          </w:tcPr>
          <w:p w14:paraId="5F75B167"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-42,184,316,946.</w:t>
            </w:r>
            <w:r w:rsidR="004A71E7">
              <w:rPr>
                <w:rFonts w:ascii="Montserrat" w:eastAsia="Times New Roman" w:hAnsi="Montserrat"/>
                <w:b/>
                <w:bCs/>
                <w:color w:val="000000"/>
                <w:sz w:val="15"/>
                <w:szCs w:val="15"/>
                <w:lang w:val="es-MX" w:eastAsia="es-MX"/>
              </w:rPr>
              <w:t>5</w:t>
            </w:r>
          </w:p>
        </w:tc>
        <w:tc>
          <w:tcPr>
            <w:tcW w:w="1967" w:type="dxa"/>
            <w:tcBorders>
              <w:top w:val="nil"/>
              <w:left w:val="nil"/>
              <w:bottom w:val="nil"/>
              <w:right w:val="nil"/>
            </w:tcBorders>
            <w:shd w:val="clear" w:color="000000" w:fill="F2F2F2"/>
            <w:vAlign w:val="center"/>
            <w:hideMark/>
          </w:tcPr>
          <w:p w14:paraId="4123B102"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-39,319,010,760.7</w:t>
            </w:r>
          </w:p>
        </w:tc>
      </w:tr>
      <w:tr w:rsidR="009679B9" w:rsidRPr="009679B9" w14:paraId="2720B5A7" w14:textId="77777777" w:rsidTr="009679B9">
        <w:trPr>
          <w:trHeight w:val="228"/>
          <w:jc w:val="center"/>
        </w:trPr>
        <w:tc>
          <w:tcPr>
            <w:tcW w:w="5539" w:type="dxa"/>
            <w:tcBorders>
              <w:top w:val="nil"/>
              <w:left w:val="nil"/>
              <w:bottom w:val="nil"/>
              <w:right w:val="nil"/>
            </w:tcBorders>
            <w:shd w:val="clear" w:color="000000" w:fill="F2F2F2"/>
            <w:vAlign w:val="center"/>
            <w:hideMark/>
          </w:tcPr>
          <w:p w14:paraId="6E23EBA9" w14:textId="77777777" w:rsidR="009679B9" w:rsidRPr="009679B9" w:rsidRDefault="009679B9" w:rsidP="009679B9">
            <w:pPr>
              <w:spacing w:after="0" w:line="240" w:lineRule="auto"/>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 xml:space="preserve">Estimación por Deterioro de Inventarios </w:t>
            </w:r>
            <w:r w:rsidRPr="009679B9">
              <w:rPr>
                <w:rFonts w:ascii="Montserrat" w:eastAsia="Times New Roman" w:hAnsi="Montserrat"/>
                <w:b/>
                <w:bCs/>
                <w:color w:val="000000"/>
                <w:sz w:val="15"/>
                <w:szCs w:val="15"/>
                <w:lang w:val="es-MX" w:eastAsia="es-MX"/>
              </w:rPr>
              <w:t>(1.6.b)</w:t>
            </w:r>
          </w:p>
        </w:tc>
        <w:tc>
          <w:tcPr>
            <w:tcW w:w="1989" w:type="dxa"/>
            <w:tcBorders>
              <w:top w:val="nil"/>
              <w:left w:val="nil"/>
              <w:bottom w:val="nil"/>
              <w:right w:val="nil"/>
            </w:tcBorders>
            <w:shd w:val="clear" w:color="000000" w:fill="F2F2F2"/>
            <w:vAlign w:val="center"/>
            <w:hideMark/>
          </w:tcPr>
          <w:p w14:paraId="73149346"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-101,556,256.8</w:t>
            </w:r>
          </w:p>
        </w:tc>
        <w:tc>
          <w:tcPr>
            <w:tcW w:w="1967" w:type="dxa"/>
            <w:tcBorders>
              <w:top w:val="nil"/>
              <w:left w:val="nil"/>
              <w:bottom w:val="nil"/>
              <w:right w:val="nil"/>
            </w:tcBorders>
            <w:shd w:val="clear" w:color="000000" w:fill="F2F2F2"/>
            <w:vAlign w:val="center"/>
            <w:hideMark/>
          </w:tcPr>
          <w:p w14:paraId="7762DF62" w14:textId="77777777" w:rsidR="009679B9" w:rsidRPr="009679B9" w:rsidRDefault="009679B9" w:rsidP="009679B9">
            <w:pPr>
              <w:spacing w:after="0" w:line="240" w:lineRule="auto"/>
              <w:jc w:val="right"/>
              <w:rPr>
                <w:rFonts w:ascii="Montserrat" w:eastAsia="Times New Roman" w:hAnsi="Montserrat"/>
                <w:color w:val="000000"/>
                <w:sz w:val="15"/>
                <w:szCs w:val="15"/>
                <w:lang w:val="es-MX" w:eastAsia="es-MX"/>
              </w:rPr>
            </w:pPr>
            <w:r w:rsidRPr="009679B9">
              <w:rPr>
                <w:rFonts w:ascii="Montserrat" w:eastAsia="Times New Roman" w:hAnsi="Montserrat"/>
                <w:color w:val="000000"/>
                <w:sz w:val="15"/>
                <w:szCs w:val="15"/>
                <w:lang w:val="es-MX" w:eastAsia="es-MX"/>
              </w:rPr>
              <w:t>-100,954,723.1</w:t>
            </w:r>
          </w:p>
        </w:tc>
      </w:tr>
      <w:tr w:rsidR="009679B9" w:rsidRPr="009679B9" w14:paraId="49E3732D" w14:textId="77777777" w:rsidTr="009679B9">
        <w:trPr>
          <w:trHeight w:val="308"/>
          <w:jc w:val="center"/>
        </w:trPr>
        <w:tc>
          <w:tcPr>
            <w:tcW w:w="5539" w:type="dxa"/>
            <w:tcBorders>
              <w:top w:val="nil"/>
              <w:left w:val="nil"/>
              <w:bottom w:val="single" w:sz="12" w:space="0" w:color="808080"/>
              <w:right w:val="nil"/>
            </w:tcBorders>
            <w:shd w:val="clear" w:color="000000" w:fill="F2F2F2"/>
            <w:vAlign w:val="center"/>
            <w:hideMark/>
          </w:tcPr>
          <w:p w14:paraId="2CE595AB" w14:textId="77777777" w:rsidR="009679B9" w:rsidRPr="009679B9" w:rsidRDefault="009679B9" w:rsidP="009679B9">
            <w:pPr>
              <w:spacing w:after="0" w:line="240" w:lineRule="auto"/>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Total Estimaciones por Pérdida o Deterioro de Activos Circulantes</w:t>
            </w:r>
          </w:p>
        </w:tc>
        <w:tc>
          <w:tcPr>
            <w:tcW w:w="1989" w:type="dxa"/>
            <w:tcBorders>
              <w:top w:val="nil"/>
              <w:left w:val="nil"/>
              <w:bottom w:val="single" w:sz="12" w:space="0" w:color="808080"/>
              <w:right w:val="nil"/>
            </w:tcBorders>
            <w:shd w:val="clear" w:color="000000" w:fill="F2F2F2"/>
            <w:vAlign w:val="center"/>
            <w:hideMark/>
          </w:tcPr>
          <w:p w14:paraId="7EAB9E54"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-42,285,873,203.</w:t>
            </w:r>
            <w:r w:rsidR="004A71E7">
              <w:rPr>
                <w:rFonts w:ascii="Montserrat" w:eastAsia="Times New Roman" w:hAnsi="Montserrat"/>
                <w:b/>
                <w:bCs/>
                <w:color w:val="000000"/>
                <w:sz w:val="15"/>
                <w:szCs w:val="15"/>
                <w:lang w:val="es-MX" w:eastAsia="es-MX"/>
              </w:rPr>
              <w:t>3</w:t>
            </w:r>
          </w:p>
        </w:tc>
        <w:tc>
          <w:tcPr>
            <w:tcW w:w="1967" w:type="dxa"/>
            <w:tcBorders>
              <w:top w:val="nil"/>
              <w:left w:val="nil"/>
              <w:bottom w:val="single" w:sz="12" w:space="0" w:color="808080"/>
              <w:right w:val="nil"/>
            </w:tcBorders>
            <w:shd w:val="clear" w:color="000000" w:fill="F2F2F2"/>
            <w:vAlign w:val="center"/>
            <w:hideMark/>
          </w:tcPr>
          <w:p w14:paraId="18E5FB39" w14:textId="77777777" w:rsidR="009679B9" w:rsidRPr="009679B9" w:rsidRDefault="009679B9" w:rsidP="009679B9">
            <w:pPr>
              <w:spacing w:after="0" w:line="240" w:lineRule="auto"/>
              <w:jc w:val="right"/>
              <w:rPr>
                <w:rFonts w:ascii="Montserrat" w:eastAsia="Times New Roman" w:hAnsi="Montserrat"/>
                <w:b/>
                <w:bCs/>
                <w:color w:val="000000"/>
                <w:sz w:val="15"/>
                <w:szCs w:val="15"/>
                <w:lang w:val="es-MX" w:eastAsia="es-MX"/>
              </w:rPr>
            </w:pPr>
            <w:r w:rsidRPr="009679B9">
              <w:rPr>
                <w:rFonts w:ascii="Montserrat" w:eastAsia="Times New Roman" w:hAnsi="Montserrat"/>
                <w:b/>
                <w:bCs/>
                <w:color w:val="000000"/>
                <w:sz w:val="15"/>
                <w:szCs w:val="15"/>
                <w:lang w:val="es-MX" w:eastAsia="es-MX"/>
              </w:rPr>
              <w:t>-39,419,965,483.8</w:t>
            </w:r>
          </w:p>
        </w:tc>
      </w:tr>
    </w:tbl>
    <w:p w14:paraId="35C66B67" w14:textId="77777777" w:rsidR="009679B9" w:rsidRDefault="009679B9" w:rsidP="005725BA">
      <w:pPr>
        <w:pStyle w:val="TEXTONORMAL"/>
        <w:rPr>
          <w:lang w:val="es-MX"/>
        </w:rPr>
      </w:pPr>
    </w:p>
    <w:p w14:paraId="18131108" w14:textId="77777777" w:rsidR="009D5C48" w:rsidRDefault="009D5C48" w:rsidP="003F2A12">
      <w:pPr>
        <w:pStyle w:val="TEXTONORMAL"/>
        <w:numPr>
          <w:ilvl w:val="0"/>
          <w:numId w:val="19"/>
        </w:numPr>
        <w:rPr>
          <w:lang w:val="es-MX"/>
        </w:rPr>
      </w:pPr>
      <w:r w:rsidRPr="00DF7A34">
        <w:rPr>
          <w:b/>
          <w:lang w:val="es-MX"/>
        </w:rPr>
        <w:lastRenderedPageBreak/>
        <w:t>1.6.</w:t>
      </w:r>
      <w:r w:rsidR="00131625">
        <w:rPr>
          <w:b/>
          <w:lang w:val="es-MX"/>
        </w:rPr>
        <w:t>a</w:t>
      </w:r>
      <w:r w:rsidRPr="00DF7A34">
        <w:rPr>
          <w:b/>
          <w:lang w:val="es-MX"/>
        </w:rPr>
        <w:t>)</w:t>
      </w:r>
      <w:r w:rsidRPr="00DF7A34">
        <w:rPr>
          <w:lang w:val="es-MX"/>
        </w:rPr>
        <w:t xml:space="preserve"> </w:t>
      </w:r>
      <w:r w:rsidR="00453A73">
        <w:rPr>
          <w:lang w:val="es-MX"/>
        </w:rPr>
        <w:t>L</w:t>
      </w:r>
      <w:r>
        <w:rPr>
          <w:lang w:val="es-MX"/>
        </w:rPr>
        <w:t xml:space="preserve">a </w:t>
      </w:r>
      <w:r w:rsidR="00131625">
        <w:rPr>
          <w:lang w:val="es-MX"/>
        </w:rPr>
        <w:t>e</w:t>
      </w:r>
      <w:r w:rsidRPr="00DF7A34">
        <w:rPr>
          <w:lang w:val="es-MX"/>
        </w:rPr>
        <w:t>stimación de Deudores Diversos</w:t>
      </w:r>
      <w:r>
        <w:rPr>
          <w:lang w:val="es-MX"/>
        </w:rPr>
        <w:t xml:space="preserve"> </w:t>
      </w:r>
      <w:r w:rsidR="008A6606">
        <w:rPr>
          <w:lang w:val="es-MX"/>
        </w:rPr>
        <w:t>está</w:t>
      </w:r>
      <w:r w:rsidRPr="00DF7A34">
        <w:rPr>
          <w:lang w:val="es-MX"/>
        </w:rPr>
        <w:t xml:space="preserve"> relacionada</w:t>
      </w:r>
      <w:r w:rsidR="00453A73">
        <w:rPr>
          <w:lang w:val="es-MX"/>
        </w:rPr>
        <w:t xml:space="preserve"> </w:t>
      </w:r>
      <w:r w:rsidRPr="00DF7A34">
        <w:rPr>
          <w:lang w:val="es-MX"/>
        </w:rPr>
        <w:t>al juicio promovido por el Instituto en contra de la empresa Promotora de Centros de Esparc</w:t>
      </w:r>
      <w:r>
        <w:rPr>
          <w:lang w:val="es-MX"/>
        </w:rPr>
        <w:t>imiento, S.A. de C.V. (PROCE), j</w:t>
      </w:r>
      <w:r w:rsidRPr="00DF7A34">
        <w:rPr>
          <w:lang w:val="es-MX"/>
        </w:rPr>
        <w:t xml:space="preserve">uicio </w:t>
      </w:r>
      <w:r>
        <w:rPr>
          <w:lang w:val="es-MX"/>
        </w:rPr>
        <w:t>o</w:t>
      </w:r>
      <w:r w:rsidRPr="00DF7A34">
        <w:rPr>
          <w:lang w:val="es-MX"/>
        </w:rPr>
        <w:t xml:space="preserve">rdinario </w:t>
      </w:r>
      <w:r>
        <w:rPr>
          <w:lang w:val="es-MX"/>
        </w:rPr>
        <w:t>mercantil, e</w:t>
      </w:r>
      <w:r w:rsidRPr="00DF7A34">
        <w:rPr>
          <w:lang w:val="es-MX"/>
        </w:rPr>
        <w:t>xpediente</w:t>
      </w:r>
      <w:r>
        <w:rPr>
          <w:lang w:val="es-MX"/>
        </w:rPr>
        <w:t xml:space="preserve"> 169/2003 llevado a cabo en el juzgado p</w:t>
      </w:r>
      <w:r w:rsidRPr="00DF7A34">
        <w:rPr>
          <w:lang w:val="es-MX"/>
        </w:rPr>
        <w:t xml:space="preserve">rimero de </w:t>
      </w:r>
      <w:r>
        <w:rPr>
          <w:lang w:val="es-MX"/>
        </w:rPr>
        <w:t>d</w:t>
      </w:r>
      <w:r w:rsidRPr="00DF7A34">
        <w:rPr>
          <w:lang w:val="es-MX"/>
        </w:rPr>
        <w:t xml:space="preserve">istrito en </w:t>
      </w:r>
      <w:r>
        <w:rPr>
          <w:lang w:val="es-MX"/>
        </w:rPr>
        <w:t>m</w:t>
      </w:r>
      <w:r w:rsidRPr="00DF7A34">
        <w:rPr>
          <w:lang w:val="es-MX"/>
        </w:rPr>
        <w:t xml:space="preserve">ateria </w:t>
      </w:r>
      <w:r>
        <w:rPr>
          <w:lang w:val="es-MX"/>
        </w:rPr>
        <w:t>c</w:t>
      </w:r>
      <w:r w:rsidRPr="00DF7A34">
        <w:rPr>
          <w:lang w:val="es-MX"/>
        </w:rPr>
        <w:t>ivil en la Ciudad de México, derivado del título de concesión con fines de construcción, mantenimiento, uso y explotaci</w:t>
      </w:r>
      <w:r>
        <w:rPr>
          <w:lang w:val="es-MX"/>
        </w:rPr>
        <w:t>ón del Parque Acuático Oaxtepec</w:t>
      </w:r>
      <w:r w:rsidR="00131625">
        <w:rPr>
          <w:lang w:val="es-MX"/>
        </w:rPr>
        <w:t>.</w:t>
      </w:r>
    </w:p>
    <w:p w14:paraId="2E8125BE" w14:textId="77777777" w:rsidR="00393450" w:rsidRDefault="00393450" w:rsidP="00393450">
      <w:pPr>
        <w:pStyle w:val="TEXTONORMAL"/>
        <w:ind w:left="720"/>
        <w:rPr>
          <w:lang w:val="es-MX"/>
        </w:rPr>
      </w:pPr>
    </w:p>
    <w:p w14:paraId="2B91A897" w14:textId="77777777" w:rsidR="009D5C48" w:rsidRDefault="009D5C48" w:rsidP="003F2A12">
      <w:pPr>
        <w:pStyle w:val="TEXTONORMAL"/>
        <w:numPr>
          <w:ilvl w:val="0"/>
          <w:numId w:val="19"/>
        </w:numPr>
        <w:rPr>
          <w:lang w:val="es-MX"/>
        </w:rPr>
      </w:pPr>
      <w:r w:rsidRPr="006246B6">
        <w:rPr>
          <w:b/>
          <w:lang w:val="es-MX"/>
        </w:rPr>
        <w:t>1.6.</w:t>
      </w:r>
      <w:r w:rsidR="00131625">
        <w:rPr>
          <w:b/>
          <w:lang w:val="es-MX"/>
        </w:rPr>
        <w:t>b</w:t>
      </w:r>
      <w:r w:rsidRPr="006246B6">
        <w:rPr>
          <w:b/>
          <w:lang w:val="es-MX"/>
        </w:rPr>
        <w:t>)</w:t>
      </w:r>
      <w:r>
        <w:rPr>
          <w:lang w:val="es-MX"/>
        </w:rPr>
        <w:t xml:space="preserve"> La E</w:t>
      </w:r>
      <w:r w:rsidRPr="006246B6">
        <w:rPr>
          <w:lang w:val="es-MX"/>
        </w:rPr>
        <w:t xml:space="preserve">stimación </w:t>
      </w:r>
      <w:r>
        <w:rPr>
          <w:lang w:val="es-MX"/>
        </w:rPr>
        <w:t>por Deterioro de I</w:t>
      </w:r>
      <w:r w:rsidRPr="006246B6">
        <w:rPr>
          <w:lang w:val="es-MX"/>
        </w:rPr>
        <w:t>nventarios se determina aplicando el 0.5% sobre el saldo de</w:t>
      </w:r>
      <w:r w:rsidRPr="001D2E76">
        <w:rPr>
          <w:lang w:val="es-MX"/>
        </w:rPr>
        <w:t xml:space="preserve"> inventarios al cierre del año, y se aplica conforme ocurren situaciones que generan mermas o bajas de almacenes por caducidad.</w:t>
      </w:r>
    </w:p>
    <w:p w14:paraId="0DFD7609" w14:textId="77777777" w:rsidR="00E365BF" w:rsidRDefault="00E365BF" w:rsidP="00E365BF">
      <w:pPr>
        <w:pStyle w:val="TEXTONORMAL"/>
        <w:ind w:left="720"/>
        <w:rPr>
          <w:lang w:val="es-MX"/>
        </w:rPr>
      </w:pPr>
    </w:p>
    <w:p w14:paraId="4FA5EE31" w14:textId="77777777" w:rsidR="009D5C48" w:rsidRDefault="009D5C48" w:rsidP="0073482B">
      <w:pPr>
        <w:pStyle w:val="SUBTITULO2"/>
      </w:pPr>
      <w:r w:rsidRPr="00ED5E1D">
        <w:t>activo no circulante</w:t>
      </w:r>
    </w:p>
    <w:p w14:paraId="2BAFAD1C" w14:textId="77777777" w:rsidR="009D5C48" w:rsidRPr="00DF6CAF" w:rsidRDefault="009D5C48" w:rsidP="009D5C48">
      <w:pPr>
        <w:pStyle w:val="TEXTONORMAL"/>
        <w:rPr>
          <w:lang w:val="es-MX"/>
        </w:rPr>
      </w:pPr>
    </w:p>
    <w:p w14:paraId="0D90E6D0" w14:textId="77777777" w:rsidR="009D5C48" w:rsidRPr="006456BC" w:rsidRDefault="005F6F21" w:rsidP="003F2A12">
      <w:pPr>
        <w:pStyle w:val="VIETAFLECHA"/>
        <w:numPr>
          <w:ilvl w:val="1"/>
          <w:numId w:val="20"/>
        </w:numPr>
        <w:ind w:left="357" w:hanging="357"/>
      </w:pPr>
      <w:r w:rsidRPr="008142BE">
        <w:rPr>
          <w:b/>
        </w:rPr>
        <w:t>1.7</w:t>
      </w:r>
      <w:r>
        <w:t xml:space="preserve"> </w:t>
      </w:r>
      <w:r w:rsidR="009D5C48" w:rsidRPr="006456BC">
        <w:t>Inversiones Financieras a Largo Plazo</w:t>
      </w:r>
    </w:p>
    <w:p w14:paraId="0AF372A9" w14:textId="77777777" w:rsidR="009D5C48" w:rsidRDefault="00260E31" w:rsidP="004B1F81">
      <w:pPr>
        <w:pStyle w:val="TEXTONORMAL"/>
      </w:pPr>
      <w:r>
        <w:t>Al 30 de septiembre</w:t>
      </w:r>
      <w:r w:rsidR="00F036B7">
        <w:t xml:space="preserve"> de 2022</w:t>
      </w:r>
      <w:r w:rsidR="00F036B7" w:rsidRPr="000B2CE4">
        <w:t xml:space="preserve"> y</w:t>
      </w:r>
      <w:r w:rsidR="005823F5">
        <w:t xml:space="preserve"> al</w:t>
      </w:r>
      <w:r w:rsidR="00F036B7" w:rsidRPr="000B2CE4">
        <w:t xml:space="preserve"> </w:t>
      </w:r>
      <w:r w:rsidR="00F036B7">
        <w:t>31 de diciembre de 2021</w:t>
      </w:r>
      <w:r w:rsidR="009D5C48" w:rsidRPr="009F49D3">
        <w:t>, este rubro se integra de la siguiente manera:</w:t>
      </w:r>
    </w:p>
    <w:p w14:paraId="3882809B" w14:textId="77777777" w:rsidR="00E93B62" w:rsidRDefault="00E93B62" w:rsidP="004B1F81">
      <w:pPr>
        <w:pStyle w:val="TEXTONORMAL"/>
      </w:pPr>
    </w:p>
    <w:tbl>
      <w:tblPr>
        <w:tblW w:w="10201" w:type="dxa"/>
        <w:jc w:val="center"/>
        <w:tblCellMar>
          <w:left w:w="70" w:type="dxa"/>
          <w:right w:w="70" w:type="dxa"/>
        </w:tblCellMar>
        <w:tblLook w:val="04A0" w:firstRow="1" w:lastRow="0" w:firstColumn="1" w:lastColumn="0" w:noHBand="0" w:noVBand="1"/>
      </w:tblPr>
      <w:tblGrid>
        <w:gridCol w:w="5950"/>
        <w:gridCol w:w="2137"/>
        <w:gridCol w:w="2114"/>
      </w:tblGrid>
      <w:tr w:rsidR="00E93B62" w:rsidRPr="00E93B62" w14:paraId="094E728B" w14:textId="77777777" w:rsidTr="00E93B62">
        <w:trPr>
          <w:trHeight w:val="259"/>
          <w:jc w:val="center"/>
        </w:trPr>
        <w:tc>
          <w:tcPr>
            <w:tcW w:w="595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018C9187" w14:textId="77777777" w:rsidR="00E93B62" w:rsidRPr="00E93B62" w:rsidRDefault="00E93B62" w:rsidP="00E93B62">
            <w:pPr>
              <w:spacing w:after="0" w:line="240" w:lineRule="auto"/>
              <w:jc w:val="center"/>
              <w:rPr>
                <w:rFonts w:ascii="Montserrat" w:eastAsia="Times New Roman" w:hAnsi="Montserrat"/>
                <w:b/>
                <w:bCs/>
                <w:color w:val="FFFFFF"/>
                <w:sz w:val="16"/>
                <w:szCs w:val="16"/>
                <w:lang w:val="es-MX" w:eastAsia="es-MX"/>
              </w:rPr>
            </w:pPr>
            <w:r w:rsidRPr="00E93B62">
              <w:rPr>
                <w:rFonts w:ascii="Montserrat" w:eastAsia="Times New Roman" w:hAnsi="Montserrat"/>
                <w:b/>
                <w:bCs/>
                <w:color w:val="FFFFFF"/>
                <w:sz w:val="16"/>
                <w:szCs w:val="16"/>
                <w:lang w:val="es-MX" w:eastAsia="es-MX"/>
              </w:rPr>
              <w:t>Concepto</w:t>
            </w:r>
          </w:p>
        </w:tc>
        <w:tc>
          <w:tcPr>
            <w:tcW w:w="42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8B7AC02" w14:textId="77777777" w:rsidR="00E93B62" w:rsidRPr="00E93B62" w:rsidRDefault="00E93B62" w:rsidP="00E93B62">
            <w:pPr>
              <w:spacing w:after="0" w:line="240" w:lineRule="auto"/>
              <w:jc w:val="center"/>
              <w:rPr>
                <w:rFonts w:ascii="Montserrat" w:eastAsia="Times New Roman" w:hAnsi="Montserrat"/>
                <w:b/>
                <w:bCs/>
                <w:color w:val="FFFFFF"/>
                <w:sz w:val="16"/>
                <w:szCs w:val="16"/>
                <w:lang w:val="es-MX" w:eastAsia="es-MX"/>
              </w:rPr>
            </w:pPr>
            <w:r w:rsidRPr="00E93B62">
              <w:rPr>
                <w:rFonts w:ascii="Montserrat" w:eastAsia="Times New Roman" w:hAnsi="Montserrat"/>
                <w:b/>
                <w:bCs/>
                <w:color w:val="FFFFFF"/>
                <w:sz w:val="16"/>
                <w:szCs w:val="16"/>
                <w:lang w:val="es-MX" w:eastAsia="es-MX"/>
              </w:rPr>
              <w:t>Cifras en pesos</w:t>
            </w:r>
          </w:p>
        </w:tc>
      </w:tr>
      <w:tr w:rsidR="00E93B62" w:rsidRPr="00E93B62" w14:paraId="311631AD" w14:textId="77777777" w:rsidTr="00E93B62">
        <w:trPr>
          <w:trHeight w:val="259"/>
          <w:jc w:val="center"/>
        </w:trPr>
        <w:tc>
          <w:tcPr>
            <w:tcW w:w="5950" w:type="dxa"/>
            <w:vMerge/>
            <w:tcBorders>
              <w:top w:val="single" w:sz="12" w:space="0" w:color="808080"/>
              <w:left w:val="nil"/>
              <w:bottom w:val="double" w:sz="6" w:space="0" w:color="808080"/>
              <w:right w:val="single" w:sz="12" w:space="0" w:color="FFFFFF"/>
            </w:tcBorders>
            <w:vAlign w:val="center"/>
            <w:hideMark/>
          </w:tcPr>
          <w:p w14:paraId="218CE4C0" w14:textId="77777777" w:rsidR="00E93B62" w:rsidRPr="00E93B62" w:rsidRDefault="00E93B62" w:rsidP="00E93B62">
            <w:pPr>
              <w:spacing w:after="0" w:line="240" w:lineRule="auto"/>
              <w:rPr>
                <w:rFonts w:ascii="Montserrat" w:eastAsia="Times New Roman" w:hAnsi="Montserrat"/>
                <w:b/>
                <w:bCs/>
                <w:color w:val="FFFFFF"/>
                <w:sz w:val="16"/>
                <w:szCs w:val="16"/>
                <w:lang w:val="es-MX" w:eastAsia="es-MX"/>
              </w:rPr>
            </w:pPr>
          </w:p>
        </w:tc>
        <w:tc>
          <w:tcPr>
            <w:tcW w:w="2137" w:type="dxa"/>
            <w:tcBorders>
              <w:top w:val="nil"/>
              <w:left w:val="nil"/>
              <w:bottom w:val="double" w:sz="6" w:space="0" w:color="808080"/>
              <w:right w:val="single" w:sz="12" w:space="0" w:color="FFFFFF"/>
            </w:tcBorders>
            <w:shd w:val="clear" w:color="000000" w:fill="D4C19C"/>
            <w:vAlign w:val="center"/>
            <w:hideMark/>
          </w:tcPr>
          <w:p w14:paraId="353055F5" w14:textId="77777777" w:rsidR="00E93B62" w:rsidRPr="00E93B62" w:rsidRDefault="00E93B62" w:rsidP="00E93B62">
            <w:pPr>
              <w:spacing w:after="0" w:line="240" w:lineRule="auto"/>
              <w:jc w:val="center"/>
              <w:rPr>
                <w:rFonts w:ascii="Montserrat" w:eastAsia="Times New Roman" w:hAnsi="Montserrat"/>
                <w:b/>
                <w:bCs/>
                <w:color w:val="FFFFFF"/>
                <w:sz w:val="16"/>
                <w:szCs w:val="16"/>
                <w:lang w:val="es-MX" w:eastAsia="es-MX"/>
              </w:rPr>
            </w:pPr>
            <w:r w:rsidRPr="00E93B62">
              <w:rPr>
                <w:rFonts w:ascii="Montserrat" w:eastAsia="Times New Roman" w:hAnsi="Montserrat"/>
                <w:b/>
                <w:bCs/>
                <w:color w:val="FFFFFF"/>
                <w:sz w:val="16"/>
                <w:szCs w:val="16"/>
                <w:lang w:val="es-MX" w:eastAsia="es-MX"/>
              </w:rPr>
              <w:t>2022</w:t>
            </w:r>
          </w:p>
        </w:tc>
        <w:tc>
          <w:tcPr>
            <w:tcW w:w="2114" w:type="dxa"/>
            <w:tcBorders>
              <w:top w:val="nil"/>
              <w:left w:val="nil"/>
              <w:bottom w:val="double" w:sz="6" w:space="0" w:color="808080"/>
              <w:right w:val="single" w:sz="12" w:space="0" w:color="FFFFFF"/>
            </w:tcBorders>
            <w:shd w:val="clear" w:color="000000" w:fill="D4C19C"/>
            <w:vAlign w:val="center"/>
            <w:hideMark/>
          </w:tcPr>
          <w:p w14:paraId="1A5E5CAE" w14:textId="77777777" w:rsidR="00E93B62" w:rsidRPr="00E93B62" w:rsidRDefault="00E93B62" w:rsidP="00E93B62">
            <w:pPr>
              <w:spacing w:after="0" w:line="240" w:lineRule="auto"/>
              <w:jc w:val="center"/>
              <w:rPr>
                <w:rFonts w:ascii="Montserrat" w:eastAsia="Times New Roman" w:hAnsi="Montserrat"/>
                <w:b/>
                <w:bCs/>
                <w:color w:val="FFFFFF"/>
                <w:sz w:val="16"/>
                <w:szCs w:val="16"/>
                <w:lang w:val="es-MX" w:eastAsia="es-MX"/>
              </w:rPr>
            </w:pPr>
            <w:r w:rsidRPr="00E93B62">
              <w:rPr>
                <w:rFonts w:ascii="Montserrat" w:eastAsia="Times New Roman" w:hAnsi="Montserrat"/>
                <w:b/>
                <w:bCs/>
                <w:color w:val="FFFFFF"/>
                <w:sz w:val="16"/>
                <w:szCs w:val="16"/>
                <w:lang w:val="es-MX" w:eastAsia="es-MX"/>
              </w:rPr>
              <w:t>2021</w:t>
            </w:r>
          </w:p>
        </w:tc>
      </w:tr>
      <w:tr w:rsidR="00E93B62" w:rsidRPr="00E93B62" w14:paraId="765BB4F7" w14:textId="77777777" w:rsidTr="00E93B62">
        <w:trPr>
          <w:trHeight w:val="247"/>
          <w:jc w:val="center"/>
        </w:trPr>
        <w:tc>
          <w:tcPr>
            <w:tcW w:w="5950" w:type="dxa"/>
            <w:tcBorders>
              <w:top w:val="nil"/>
              <w:left w:val="nil"/>
              <w:bottom w:val="nil"/>
              <w:right w:val="nil"/>
            </w:tcBorders>
            <w:shd w:val="clear" w:color="000000" w:fill="F2F2F2"/>
            <w:vAlign w:val="center"/>
            <w:hideMark/>
          </w:tcPr>
          <w:p w14:paraId="3B7C8D5B" w14:textId="77777777" w:rsidR="00E93B62" w:rsidRPr="00E93B62" w:rsidRDefault="00E93B62" w:rsidP="00E93B62">
            <w:pPr>
              <w:spacing w:after="0" w:line="240" w:lineRule="auto"/>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 xml:space="preserve">Instrumentos Financieros </w:t>
            </w:r>
            <w:r w:rsidRPr="00E93B62">
              <w:rPr>
                <w:rFonts w:ascii="Montserrat" w:eastAsia="Times New Roman" w:hAnsi="Montserrat"/>
                <w:b/>
                <w:bCs/>
                <w:color w:val="000000"/>
                <w:sz w:val="15"/>
                <w:szCs w:val="15"/>
                <w:lang w:val="es-MX" w:eastAsia="es-MX"/>
              </w:rPr>
              <w:t>(1.7.a)</w:t>
            </w:r>
            <w:r w:rsidRPr="00E93B62">
              <w:rPr>
                <w:rFonts w:ascii="Montserrat" w:eastAsia="Times New Roman" w:hAnsi="Montserrat"/>
                <w:color w:val="000000"/>
                <w:sz w:val="15"/>
                <w:szCs w:val="15"/>
                <w:lang w:val="es-MX" w:eastAsia="es-MX"/>
              </w:rPr>
              <w:t xml:space="preserve"> </w:t>
            </w:r>
          </w:p>
        </w:tc>
        <w:tc>
          <w:tcPr>
            <w:tcW w:w="2137" w:type="dxa"/>
            <w:tcBorders>
              <w:top w:val="nil"/>
              <w:left w:val="nil"/>
              <w:bottom w:val="nil"/>
              <w:right w:val="nil"/>
            </w:tcBorders>
            <w:shd w:val="clear" w:color="000000" w:fill="F2F2F2"/>
            <w:vAlign w:val="center"/>
            <w:hideMark/>
          </w:tcPr>
          <w:p w14:paraId="3447B38A"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284,139,194,673.3</w:t>
            </w:r>
          </w:p>
        </w:tc>
        <w:tc>
          <w:tcPr>
            <w:tcW w:w="2114" w:type="dxa"/>
            <w:tcBorders>
              <w:top w:val="nil"/>
              <w:left w:val="nil"/>
              <w:bottom w:val="nil"/>
              <w:right w:val="nil"/>
            </w:tcBorders>
            <w:shd w:val="clear" w:color="000000" w:fill="F2F2F2"/>
            <w:vAlign w:val="center"/>
            <w:hideMark/>
          </w:tcPr>
          <w:p w14:paraId="3DBF7E43"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195,846,715,231.6</w:t>
            </w:r>
          </w:p>
        </w:tc>
      </w:tr>
      <w:tr w:rsidR="00E93B62" w:rsidRPr="00E93B62" w14:paraId="6668B92B" w14:textId="77777777" w:rsidTr="00E93B62">
        <w:trPr>
          <w:trHeight w:val="236"/>
          <w:jc w:val="center"/>
        </w:trPr>
        <w:tc>
          <w:tcPr>
            <w:tcW w:w="5950" w:type="dxa"/>
            <w:tcBorders>
              <w:top w:val="nil"/>
              <w:left w:val="nil"/>
              <w:bottom w:val="nil"/>
              <w:right w:val="nil"/>
            </w:tcBorders>
            <w:shd w:val="clear" w:color="000000" w:fill="F2F2F2"/>
            <w:vAlign w:val="center"/>
            <w:hideMark/>
          </w:tcPr>
          <w:p w14:paraId="373A65C3" w14:textId="77777777" w:rsidR="00E93B62" w:rsidRPr="00E93B62" w:rsidRDefault="00E93B62" w:rsidP="00E93B62">
            <w:pPr>
              <w:spacing w:after="0" w:line="240" w:lineRule="auto"/>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 xml:space="preserve">Participaciones y Aportaciones de Capital </w:t>
            </w:r>
            <w:r w:rsidRPr="00E93B62">
              <w:rPr>
                <w:rFonts w:ascii="Montserrat" w:eastAsia="Times New Roman" w:hAnsi="Montserrat"/>
                <w:b/>
                <w:bCs/>
                <w:color w:val="000000"/>
                <w:sz w:val="15"/>
                <w:szCs w:val="15"/>
                <w:lang w:val="es-MX" w:eastAsia="es-MX"/>
              </w:rPr>
              <w:t>(1.7.b)</w:t>
            </w:r>
          </w:p>
        </w:tc>
        <w:tc>
          <w:tcPr>
            <w:tcW w:w="2137" w:type="dxa"/>
            <w:tcBorders>
              <w:top w:val="nil"/>
              <w:left w:val="nil"/>
              <w:bottom w:val="nil"/>
              <w:right w:val="nil"/>
            </w:tcBorders>
            <w:shd w:val="clear" w:color="000000" w:fill="F2F2F2"/>
            <w:vAlign w:val="center"/>
            <w:hideMark/>
          </w:tcPr>
          <w:p w14:paraId="565EB165"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13,518,961,909.0</w:t>
            </w:r>
          </w:p>
        </w:tc>
        <w:tc>
          <w:tcPr>
            <w:tcW w:w="2114" w:type="dxa"/>
            <w:tcBorders>
              <w:top w:val="nil"/>
              <w:left w:val="nil"/>
              <w:bottom w:val="nil"/>
              <w:right w:val="nil"/>
            </w:tcBorders>
            <w:shd w:val="clear" w:color="000000" w:fill="F2F2F2"/>
            <w:vAlign w:val="center"/>
            <w:hideMark/>
          </w:tcPr>
          <w:p w14:paraId="09C85B71"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14,854,806,090.0</w:t>
            </w:r>
          </w:p>
        </w:tc>
      </w:tr>
      <w:tr w:rsidR="00E93B62" w:rsidRPr="00E93B62" w14:paraId="1BB05E8E" w14:textId="77777777" w:rsidTr="00E93B62">
        <w:trPr>
          <w:trHeight w:val="236"/>
          <w:jc w:val="center"/>
        </w:trPr>
        <w:tc>
          <w:tcPr>
            <w:tcW w:w="5950" w:type="dxa"/>
            <w:tcBorders>
              <w:top w:val="nil"/>
              <w:left w:val="nil"/>
              <w:bottom w:val="nil"/>
              <w:right w:val="nil"/>
            </w:tcBorders>
            <w:shd w:val="clear" w:color="000000" w:fill="F2F2F2"/>
            <w:vAlign w:val="center"/>
            <w:hideMark/>
          </w:tcPr>
          <w:p w14:paraId="5A948C86" w14:textId="77777777" w:rsidR="00E93B62" w:rsidRPr="00E93B62" w:rsidRDefault="00E93B62" w:rsidP="00E93B62">
            <w:pPr>
              <w:spacing w:after="0" w:line="240" w:lineRule="auto"/>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 xml:space="preserve">Fideicomisos, Mandatos y Contratos Análogos </w:t>
            </w:r>
            <w:r w:rsidRPr="00E93B62">
              <w:rPr>
                <w:rFonts w:ascii="Montserrat" w:eastAsia="Times New Roman" w:hAnsi="Montserrat"/>
                <w:b/>
                <w:bCs/>
                <w:color w:val="000000"/>
                <w:sz w:val="15"/>
                <w:szCs w:val="15"/>
                <w:lang w:val="es-MX" w:eastAsia="es-MX"/>
              </w:rPr>
              <w:t>(1.7.c)</w:t>
            </w:r>
          </w:p>
        </w:tc>
        <w:tc>
          <w:tcPr>
            <w:tcW w:w="2137" w:type="dxa"/>
            <w:tcBorders>
              <w:top w:val="nil"/>
              <w:left w:val="nil"/>
              <w:bottom w:val="nil"/>
              <w:right w:val="nil"/>
            </w:tcBorders>
            <w:shd w:val="clear" w:color="000000" w:fill="F2F2F2"/>
            <w:vAlign w:val="center"/>
            <w:hideMark/>
          </w:tcPr>
          <w:p w14:paraId="0FDFCBB9"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770,418,302.1</w:t>
            </w:r>
          </w:p>
        </w:tc>
        <w:tc>
          <w:tcPr>
            <w:tcW w:w="2114" w:type="dxa"/>
            <w:tcBorders>
              <w:top w:val="nil"/>
              <w:left w:val="nil"/>
              <w:bottom w:val="nil"/>
              <w:right w:val="nil"/>
            </w:tcBorders>
            <w:shd w:val="clear" w:color="000000" w:fill="F2F2F2"/>
            <w:vAlign w:val="center"/>
            <w:hideMark/>
          </w:tcPr>
          <w:p w14:paraId="17971FEC" w14:textId="77777777" w:rsidR="00E93B62" w:rsidRPr="00E93B62" w:rsidRDefault="00E93B62" w:rsidP="00E93B62">
            <w:pPr>
              <w:spacing w:after="0" w:line="240" w:lineRule="auto"/>
              <w:jc w:val="right"/>
              <w:rPr>
                <w:rFonts w:ascii="Montserrat" w:eastAsia="Times New Roman" w:hAnsi="Montserrat"/>
                <w:color w:val="000000"/>
                <w:sz w:val="15"/>
                <w:szCs w:val="15"/>
                <w:lang w:val="es-MX" w:eastAsia="es-MX"/>
              </w:rPr>
            </w:pPr>
            <w:r w:rsidRPr="00E93B62">
              <w:rPr>
                <w:rFonts w:ascii="Montserrat" w:eastAsia="Times New Roman" w:hAnsi="Montserrat"/>
                <w:color w:val="000000"/>
                <w:sz w:val="15"/>
                <w:szCs w:val="15"/>
                <w:lang w:val="es-MX" w:eastAsia="es-MX"/>
              </w:rPr>
              <w:t>695,462,940.5</w:t>
            </w:r>
          </w:p>
        </w:tc>
      </w:tr>
      <w:tr w:rsidR="00E93B62" w:rsidRPr="00E93B62" w14:paraId="719EE1B4" w14:textId="77777777" w:rsidTr="00E93B62">
        <w:trPr>
          <w:trHeight w:val="247"/>
          <w:jc w:val="center"/>
        </w:trPr>
        <w:tc>
          <w:tcPr>
            <w:tcW w:w="5950" w:type="dxa"/>
            <w:tcBorders>
              <w:top w:val="nil"/>
              <w:left w:val="nil"/>
              <w:bottom w:val="single" w:sz="12" w:space="0" w:color="808080"/>
              <w:right w:val="nil"/>
            </w:tcBorders>
            <w:shd w:val="clear" w:color="000000" w:fill="F2F2F2"/>
            <w:vAlign w:val="center"/>
            <w:hideMark/>
          </w:tcPr>
          <w:p w14:paraId="58281B71" w14:textId="77777777" w:rsidR="00E93B62" w:rsidRPr="00E93B62" w:rsidRDefault="00E93B62" w:rsidP="00E93B62">
            <w:pPr>
              <w:spacing w:after="0" w:line="240" w:lineRule="auto"/>
              <w:rPr>
                <w:rFonts w:ascii="Montserrat" w:eastAsia="Times New Roman" w:hAnsi="Montserrat"/>
                <w:b/>
                <w:bCs/>
                <w:color w:val="000000"/>
                <w:sz w:val="15"/>
                <w:szCs w:val="15"/>
                <w:lang w:val="es-MX" w:eastAsia="es-MX"/>
              </w:rPr>
            </w:pPr>
            <w:r w:rsidRPr="00E93B62">
              <w:rPr>
                <w:rFonts w:ascii="Montserrat" w:eastAsia="Times New Roman" w:hAnsi="Montserrat"/>
                <w:b/>
                <w:bCs/>
                <w:color w:val="000000"/>
                <w:sz w:val="15"/>
                <w:szCs w:val="15"/>
                <w:lang w:val="es-MX" w:eastAsia="es-MX"/>
              </w:rPr>
              <w:t>Total Inversiones Financieras a Largo Plazo</w:t>
            </w:r>
          </w:p>
        </w:tc>
        <w:tc>
          <w:tcPr>
            <w:tcW w:w="2137" w:type="dxa"/>
            <w:tcBorders>
              <w:top w:val="nil"/>
              <w:left w:val="nil"/>
              <w:bottom w:val="single" w:sz="12" w:space="0" w:color="808080"/>
              <w:right w:val="nil"/>
            </w:tcBorders>
            <w:shd w:val="clear" w:color="000000" w:fill="F2F2F2"/>
            <w:vAlign w:val="center"/>
            <w:hideMark/>
          </w:tcPr>
          <w:p w14:paraId="15B19E30" w14:textId="77777777" w:rsidR="00E93B62" w:rsidRPr="00E93B62" w:rsidRDefault="00E93B62" w:rsidP="00E93B62">
            <w:pPr>
              <w:spacing w:after="0" w:line="240" w:lineRule="auto"/>
              <w:jc w:val="right"/>
              <w:rPr>
                <w:rFonts w:ascii="Montserrat" w:eastAsia="Times New Roman" w:hAnsi="Montserrat"/>
                <w:b/>
                <w:bCs/>
                <w:color w:val="000000"/>
                <w:sz w:val="15"/>
                <w:szCs w:val="15"/>
                <w:lang w:val="es-MX" w:eastAsia="es-MX"/>
              </w:rPr>
            </w:pPr>
            <w:r w:rsidRPr="00E93B62">
              <w:rPr>
                <w:rFonts w:ascii="Montserrat" w:eastAsia="Times New Roman" w:hAnsi="Montserrat"/>
                <w:b/>
                <w:bCs/>
                <w:color w:val="000000"/>
                <w:sz w:val="15"/>
                <w:szCs w:val="15"/>
                <w:lang w:val="es-MX" w:eastAsia="es-MX"/>
              </w:rPr>
              <w:t>298,428,574,884.4</w:t>
            </w:r>
          </w:p>
        </w:tc>
        <w:tc>
          <w:tcPr>
            <w:tcW w:w="2114" w:type="dxa"/>
            <w:tcBorders>
              <w:top w:val="nil"/>
              <w:left w:val="nil"/>
              <w:bottom w:val="single" w:sz="12" w:space="0" w:color="808080"/>
              <w:right w:val="nil"/>
            </w:tcBorders>
            <w:shd w:val="clear" w:color="000000" w:fill="F2F2F2"/>
            <w:vAlign w:val="center"/>
            <w:hideMark/>
          </w:tcPr>
          <w:p w14:paraId="5A0E4CA3" w14:textId="77777777" w:rsidR="00E93B62" w:rsidRPr="00E93B62" w:rsidRDefault="00E93B62" w:rsidP="00E93B62">
            <w:pPr>
              <w:spacing w:after="0" w:line="240" w:lineRule="auto"/>
              <w:jc w:val="right"/>
              <w:rPr>
                <w:rFonts w:ascii="Montserrat" w:eastAsia="Times New Roman" w:hAnsi="Montserrat"/>
                <w:b/>
                <w:bCs/>
                <w:color w:val="000000"/>
                <w:sz w:val="15"/>
                <w:szCs w:val="15"/>
                <w:lang w:val="es-MX" w:eastAsia="es-MX"/>
              </w:rPr>
            </w:pPr>
            <w:r w:rsidRPr="00E93B62">
              <w:rPr>
                <w:rFonts w:ascii="Montserrat" w:eastAsia="Times New Roman" w:hAnsi="Montserrat"/>
                <w:b/>
                <w:bCs/>
                <w:color w:val="000000"/>
                <w:sz w:val="15"/>
                <w:szCs w:val="15"/>
                <w:lang w:val="es-MX" w:eastAsia="es-MX"/>
              </w:rPr>
              <w:t>211,396,984,262.1</w:t>
            </w:r>
          </w:p>
        </w:tc>
      </w:tr>
    </w:tbl>
    <w:p w14:paraId="7745A415" w14:textId="77777777" w:rsidR="00E93B62" w:rsidRDefault="00E93B62" w:rsidP="004B1F81">
      <w:pPr>
        <w:pStyle w:val="TEXTONORMAL"/>
      </w:pPr>
    </w:p>
    <w:p w14:paraId="45B4B6D6" w14:textId="77777777" w:rsidR="009D5C48" w:rsidRDefault="009D5C48" w:rsidP="009D5C48">
      <w:pPr>
        <w:pStyle w:val="TEXTONORMAL"/>
      </w:pPr>
    </w:p>
    <w:p w14:paraId="40D6F74D" w14:textId="77777777" w:rsidR="009D5C48" w:rsidRPr="0006786C" w:rsidRDefault="009D5C48" w:rsidP="004B1F81">
      <w:pPr>
        <w:pStyle w:val="TEXTONORMAL"/>
        <w:rPr>
          <w:lang w:val="es-MX"/>
        </w:rPr>
      </w:pPr>
      <w:r w:rsidRPr="00780933">
        <w:rPr>
          <w:b/>
          <w:lang w:val="es-MX"/>
        </w:rPr>
        <w:t>-Reservas</w:t>
      </w:r>
      <w:r w:rsidRPr="0006786C">
        <w:rPr>
          <w:lang w:val="es-MX"/>
        </w:rPr>
        <w:t xml:space="preserve">. La LSS en su artículo 278 establece que el Instituto debe constituir reservas financieras con el fin de garantizar el debido y oportuno cumplimiento de las obligaciones que contraiga, derivadas del pago de beneficios y la prestación de servicios relativos a los seguros que establece la Ley, es decir, en su carácter de IMSS-Asegurador. </w:t>
      </w:r>
    </w:p>
    <w:p w14:paraId="11DA0A5C" w14:textId="77777777" w:rsidR="009D5C48" w:rsidRPr="0006786C" w:rsidRDefault="009D5C48" w:rsidP="004B1F81">
      <w:pPr>
        <w:pStyle w:val="TEXTONORMAL"/>
        <w:rPr>
          <w:lang w:val="es-MX"/>
        </w:rPr>
      </w:pPr>
      <w:r w:rsidRPr="0006786C">
        <w:rPr>
          <w:lang w:val="es-MX"/>
        </w:rPr>
        <w:t>Con base en el artículo 280 de la LSS, las reservas que el Instituto debe constituir son las siguientes:</w:t>
      </w:r>
    </w:p>
    <w:p w14:paraId="74CC268A" w14:textId="77777777" w:rsidR="009D5C48" w:rsidRPr="0006786C" w:rsidRDefault="009D5C48" w:rsidP="004B1F81">
      <w:pPr>
        <w:pStyle w:val="TEXTONORMAL"/>
        <w:rPr>
          <w:lang w:val="es-MX"/>
        </w:rPr>
      </w:pPr>
      <w:r w:rsidRPr="0006786C">
        <w:rPr>
          <w:lang w:val="es-MX"/>
        </w:rPr>
        <w:t>- Reservas Operativas (RO).</w:t>
      </w:r>
    </w:p>
    <w:p w14:paraId="56EF6209" w14:textId="77777777" w:rsidR="009D5C48" w:rsidRPr="0006786C" w:rsidRDefault="009D5C48" w:rsidP="004B1F81">
      <w:pPr>
        <w:pStyle w:val="TEXTONORMAL"/>
        <w:rPr>
          <w:lang w:val="es-MX"/>
        </w:rPr>
      </w:pPr>
      <w:r w:rsidRPr="0006786C">
        <w:rPr>
          <w:lang w:val="es-MX"/>
        </w:rPr>
        <w:t>- Reserva de Operación para Contingencias y Financiamiento (ROCF).</w:t>
      </w:r>
    </w:p>
    <w:p w14:paraId="3890CE4F" w14:textId="77777777" w:rsidR="009D5C48" w:rsidRPr="0006786C" w:rsidRDefault="009D5C48" w:rsidP="004B1F81">
      <w:pPr>
        <w:pStyle w:val="TEXTONORMAL"/>
        <w:rPr>
          <w:lang w:val="es-MX"/>
        </w:rPr>
      </w:pPr>
      <w:r w:rsidRPr="0006786C">
        <w:rPr>
          <w:lang w:val="es-MX"/>
        </w:rPr>
        <w:t>- Reservas Financieras y Actuariales (RFA).</w:t>
      </w:r>
    </w:p>
    <w:p w14:paraId="1F3DE21C" w14:textId="3F0A02A0" w:rsidR="00393450" w:rsidRDefault="009D5C48" w:rsidP="004B1F81">
      <w:pPr>
        <w:pStyle w:val="TEXTONORMAL"/>
        <w:rPr>
          <w:lang w:val="es-MX"/>
        </w:rPr>
      </w:pPr>
      <w:r w:rsidRPr="0006786C">
        <w:rPr>
          <w:lang w:val="es-MX"/>
        </w:rPr>
        <w:t>- Reserva General Financiera y Actuarial (RGFA).</w:t>
      </w:r>
    </w:p>
    <w:p w14:paraId="24182065" w14:textId="77777777" w:rsidR="009D5C48" w:rsidRPr="0006786C" w:rsidRDefault="009D5C48" w:rsidP="004B1F81">
      <w:pPr>
        <w:pStyle w:val="TEXTONORMAL"/>
        <w:rPr>
          <w:lang w:val="es-MX"/>
        </w:rPr>
      </w:pPr>
      <w:r w:rsidRPr="0006786C">
        <w:rPr>
          <w:lang w:val="es-MX"/>
        </w:rPr>
        <w:lastRenderedPageBreak/>
        <w:t>La Reserva de Operación para Contingencias y Financiamiento y la Reserva General Financiera y Actuarial son globales, mientras que para la Reserva Financiera y Actuarial se debe establecer por cada uno de los siguientes seguros y coberturas:</w:t>
      </w:r>
    </w:p>
    <w:p w14:paraId="4C9F7C76" w14:textId="77777777" w:rsidR="00960130" w:rsidRDefault="00960130" w:rsidP="00960130">
      <w:pPr>
        <w:pStyle w:val="TEXTONORMAL"/>
      </w:pPr>
      <w:r>
        <w:t xml:space="preserve">-Seguro de </w:t>
      </w:r>
      <w:r w:rsidRPr="00634024">
        <w:t>Enfermedades y Maternidad (SEM).</w:t>
      </w:r>
    </w:p>
    <w:p w14:paraId="1D76966F" w14:textId="77777777" w:rsidR="00960130" w:rsidRDefault="00960130" w:rsidP="00960130">
      <w:pPr>
        <w:pStyle w:val="TEXTONORMAL"/>
      </w:pPr>
      <w:r>
        <w:t xml:space="preserve">-Cobertura de </w:t>
      </w:r>
      <w:r w:rsidRPr="00634024">
        <w:t xml:space="preserve">Gastos Médicos </w:t>
      </w:r>
      <w:r>
        <w:t>para</w:t>
      </w:r>
      <w:r w:rsidRPr="00634024">
        <w:t xml:space="preserve"> Pensionados (GMP).</w:t>
      </w:r>
    </w:p>
    <w:p w14:paraId="6975D273" w14:textId="77777777" w:rsidR="00960130" w:rsidRPr="00634024" w:rsidRDefault="00960130" w:rsidP="00960130">
      <w:pPr>
        <w:pStyle w:val="TEXTONORMAL"/>
      </w:pPr>
      <w:r>
        <w:t>-Seguros Guarderías y Prestaciones Sociales (GPS).</w:t>
      </w:r>
    </w:p>
    <w:p w14:paraId="68177378" w14:textId="77777777" w:rsidR="00960130" w:rsidRPr="00634024" w:rsidRDefault="00960130" w:rsidP="00960130">
      <w:pPr>
        <w:pStyle w:val="TEXTONORMAL"/>
      </w:pPr>
      <w:r>
        <w:t xml:space="preserve">-Seguro de </w:t>
      </w:r>
      <w:r w:rsidRPr="00634024">
        <w:t>Invalidez y Vida (</w:t>
      </w:r>
      <w:r>
        <w:t>I</w:t>
      </w:r>
      <w:r w:rsidRPr="00634024">
        <w:t>V).</w:t>
      </w:r>
    </w:p>
    <w:p w14:paraId="66B5BFCC" w14:textId="77777777" w:rsidR="00960130" w:rsidRDefault="00960130" w:rsidP="00960130">
      <w:pPr>
        <w:pStyle w:val="TEXTONORMAL"/>
      </w:pPr>
      <w:r>
        <w:t xml:space="preserve">-Seguro de </w:t>
      </w:r>
      <w:r w:rsidRPr="00634024">
        <w:t>Riesgos de Trabajo (RT).</w:t>
      </w:r>
    </w:p>
    <w:p w14:paraId="658BE2F4" w14:textId="77777777" w:rsidR="00393450" w:rsidRDefault="00393450" w:rsidP="00960130">
      <w:pPr>
        <w:pStyle w:val="TEXTONORMAL"/>
      </w:pPr>
    </w:p>
    <w:p w14:paraId="428E8F6B" w14:textId="77777777" w:rsidR="009D5C48" w:rsidRDefault="009D5C48" w:rsidP="004B1F81">
      <w:pPr>
        <w:pStyle w:val="TEXTONORMAL"/>
        <w:rPr>
          <w:lang w:val="es-MX"/>
        </w:rPr>
      </w:pPr>
      <w:r w:rsidRPr="00780933">
        <w:rPr>
          <w:b/>
          <w:lang w:val="es-MX"/>
        </w:rPr>
        <w:t>-Fondo Laboral.</w:t>
      </w:r>
      <w:r w:rsidRPr="0006786C">
        <w:rPr>
          <w:lang w:val="es-MX"/>
        </w:rPr>
        <w:t xml:space="preserve"> 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14:paraId="7220E179" w14:textId="77777777" w:rsidR="00393450" w:rsidRPr="0006786C" w:rsidRDefault="00393450" w:rsidP="004B1F81">
      <w:pPr>
        <w:pStyle w:val="TEXTONORMAL"/>
        <w:rPr>
          <w:lang w:val="es-MX"/>
        </w:rPr>
      </w:pPr>
    </w:p>
    <w:p w14:paraId="7276C47B" w14:textId="77777777" w:rsidR="009D5C48" w:rsidRPr="0006786C" w:rsidRDefault="009D5C48" w:rsidP="004B1F81">
      <w:pPr>
        <w:pStyle w:val="TEXTONORMAL"/>
        <w:rPr>
          <w:lang w:val="es-MX"/>
        </w:rPr>
      </w:pPr>
      <w:r w:rsidRPr="0006786C">
        <w:rPr>
          <w:lang w:val="es-MX"/>
        </w:rPr>
        <w:t xml:space="preserve">La Cuenta Especial para el Régimen de Jubilaciones y Pensiones del Fondo Laboral se integra a su vez por dos Subcuentas: </w:t>
      </w:r>
    </w:p>
    <w:p w14:paraId="515CA7AE" w14:textId="77777777" w:rsidR="009D5C48" w:rsidRDefault="009D5C48" w:rsidP="004B1F81">
      <w:pPr>
        <w:pStyle w:val="TEXTONORMAL"/>
        <w:rPr>
          <w:lang w:val="es-MX"/>
        </w:rPr>
      </w:pPr>
      <w:r w:rsidRPr="00780933">
        <w:rPr>
          <w:b/>
          <w:lang w:val="es-MX"/>
        </w:rPr>
        <w:t>-Subcuenta 1 (RJPS1).</w:t>
      </w:r>
      <w:r w:rsidRPr="0006786C">
        <w:rPr>
          <w:lang w:val="es-MX"/>
        </w:rPr>
        <w:t xml:space="preserve"> 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14:paraId="6A99A7EF" w14:textId="77777777" w:rsidR="00393450" w:rsidRPr="0006786C" w:rsidRDefault="00393450" w:rsidP="004B1F81">
      <w:pPr>
        <w:pStyle w:val="TEXTONORMAL"/>
        <w:rPr>
          <w:lang w:val="es-MX"/>
        </w:rPr>
      </w:pPr>
    </w:p>
    <w:p w14:paraId="23CC60FB" w14:textId="77777777" w:rsidR="009D5C48" w:rsidRPr="0006786C" w:rsidRDefault="009D5C48" w:rsidP="004B1F81">
      <w:pPr>
        <w:pStyle w:val="TEXTONORMAL"/>
        <w:rPr>
          <w:lang w:val="es-MX"/>
        </w:rPr>
      </w:pPr>
      <w:r w:rsidRPr="00780933">
        <w:rPr>
          <w:b/>
          <w:lang w:val="es-MX"/>
        </w:rPr>
        <w:t>-Subcuenta 2 (RJPS2).</w:t>
      </w:r>
      <w:r w:rsidRPr="0006786C">
        <w:rPr>
          <w:lang w:val="es-MX"/>
        </w:rPr>
        <w:t xml:space="preserve"> Se constituyó y se incrementa por i) la aportación al Régimen de Jubilaciones y Pensiones excedente al 3 por ciento del salario establecido para los trabajadores en activo, que ingresaron al Instituto antes del 14 de octubre de 2005, lo que constituye la Subcuenta 2A, y </w:t>
      </w:r>
      <w:proofErr w:type="spellStart"/>
      <w:r w:rsidRPr="0006786C">
        <w:rPr>
          <w:lang w:val="es-MX"/>
        </w:rPr>
        <w:t>ii</w:t>
      </w:r>
      <w:proofErr w:type="spellEnd"/>
      <w:r w:rsidRPr="0006786C">
        <w:rPr>
          <w:lang w:val="es-MX"/>
        </w:rPr>
        <w:t>) La aportación del Régimen de Jubilaciones y Pensiones del 10 por ciento del salario de los trabajadores que ingresaron al Instituto a partir de</w:t>
      </w:r>
      <w:r w:rsidR="00DC6669" w:rsidRPr="0006786C">
        <w:rPr>
          <w:lang w:val="es-MX"/>
        </w:rPr>
        <w:t>l</w:t>
      </w:r>
      <w:r w:rsidRPr="0006786C">
        <w:rPr>
          <w:lang w:val="es-MX"/>
        </w:rPr>
        <w:t xml:space="preserve"> 16 de octubre de 2005 y hasta el 27 de junio de 2008, lo que conforma la Subcuenta 2B.</w:t>
      </w:r>
    </w:p>
    <w:p w14:paraId="72B138E6" w14:textId="77777777" w:rsidR="009D5C48" w:rsidRDefault="009D5C48" w:rsidP="004B1F81">
      <w:pPr>
        <w:pStyle w:val="TEXTONORMAL"/>
        <w:rPr>
          <w:lang w:val="es-MX"/>
        </w:rPr>
      </w:pPr>
      <w:r w:rsidRPr="0006786C">
        <w:rPr>
          <w:lang w:val="es-MX"/>
        </w:rPr>
        <w:t>La Subcuenta 2 es autosustentable y se utiliza para el pago de las pensiones de los trabajadores que ingresaron al Instituto entre el 16 de octubre de 2005 y hasta el 27 junio de 2008.</w:t>
      </w:r>
    </w:p>
    <w:p w14:paraId="13E0C6D8" w14:textId="7E1397B4" w:rsidR="002A6782" w:rsidRDefault="002A6782" w:rsidP="004B1F81">
      <w:pPr>
        <w:pStyle w:val="TEXTONORMAL"/>
        <w:rPr>
          <w:lang w:val="es-MX"/>
        </w:rPr>
      </w:pPr>
    </w:p>
    <w:p w14:paraId="50AFBD97" w14:textId="01092499" w:rsidR="005B1145" w:rsidRDefault="005B1145" w:rsidP="004B1F81">
      <w:pPr>
        <w:pStyle w:val="TEXTONORMAL"/>
        <w:rPr>
          <w:lang w:val="es-MX"/>
        </w:rPr>
      </w:pPr>
    </w:p>
    <w:p w14:paraId="56CDB3C8" w14:textId="2C76F453" w:rsidR="005B1145" w:rsidRDefault="005B1145" w:rsidP="004B1F81">
      <w:pPr>
        <w:pStyle w:val="TEXTONORMAL"/>
        <w:rPr>
          <w:lang w:val="es-MX"/>
        </w:rPr>
      </w:pPr>
    </w:p>
    <w:p w14:paraId="6A87CBF9" w14:textId="77777777" w:rsidR="005B1145" w:rsidRPr="0006786C" w:rsidRDefault="005B1145" w:rsidP="004B1F81">
      <w:pPr>
        <w:pStyle w:val="TEXTONORMAL"/>
        <w:rPr>
          <w:lang w:val="es-MX"/>
        </w:rPr>
      </w:pPr>
    </w:p>
    <w:p w14:paraId="3139068A" w14:textId="77777777" w:rsidR="00A1435F" w:rsidRDefault="009D5C48" w:rsidP="003F2A12">
      <w:pPr>
        <w:pStyle w:val="TEXTONORMAL"/>
        <w:numPr>
          <w:ilvl w:val="0"/>
          <w:numId w:val="21"/>
        </w:numPr>
        <w:ind w:left="714" w:hanging="357"/>
        <w:rPr>
          <w:lang w:val="es-MX"/>
        </w:rPr>
      </w:pPr>
      <w:r w:rsidRPr="0006786C">
        <w:rPr>
          <w:b/>
          <w:lang w:val="es-MX"/>
        </w:rPr>
        <w:lastRenderedPageBreak/>
        <w:t>1.7.a)</w:t>
      </w:r>
      <w:r w:rsidRPr="0006786C">
        <w:rPr>
          <w:lang w:val="es-MX"/>
        </w:rPr>
        <w:t xml:space="preserve"> Los instrumentos financieros se clasifican en inversiones temporales, corto y largo plazo con base en su vencimiento, de conformidad con el Manual de Contabilidad Gubernamental para el Sector Paraestatal Federal (MCGSPF), las cuales se integran principalmente por las Reservas y el Fondo Laboral, como sigue:</w:t>
      </w:r>
    </w:p>
    <w:tbl>
      <w:tblPr>
        <w:tblW w:w="12601" w:type="dxa"/>
        <w:tblCellMar>
          <w:left w:w="70" w:type="dxa"/>
          <w:right w:w="70" w:type="dxa"/>
        </w:tblCellMar>
        <w:tblLook w:val="04A0" w:firstRow="1" w:lastRow="0" w:firstColumn="1" w:lastColumn="0" w:noHBand="0" w:noVBand="1"/>
      </w:tblPr>
      <w:tblGrid>
        <w:gridCol w:w="3411"/>
        <w:gridCol w:w="1444"/>
        <w:gridCol w:w="288"/>
        <w:gridCol w:w="1778"/>
        <w:gridCol w:w="2061"/>
        <w:gridCol w:w="1683"/>
        <w:gridCol w:w="1936"/>
      </w:tblGrid>
      <w:tr w:rsidR="008C673E" w:rsidRPr="008C673E" w14:paraId="42F0DD3F" w14:textId="77777777" w:rsidTr="00AB2854">
        <w:trPr>
          <w:trHeight w:val="50"/>
        </w:trPr>
        <w:tc>
          <w:tcPr>
            <w:tcW w:w="341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3BCAD34"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Concepto</w:t>
            </w:r>
          </w:p>
        </w:tc>
        <w:tc>
          <w:tcPr>
            <w:tcW w:w="9190" w:type="dxa"/>
            <w:gridSpan w:val="6"/>
            <w:tcBorders>
              <w:top w:val="single" w:sz="12" w:space="0" w:color="808080"/>
              <w:left w:val="nil"/>
              <w:bottom w:val="single" w:sz="12" w:space="0" w:color="FFFFFF"/>
              <w:right w:val="nil"/>
            </w:tcBorders>
            <w:shd w:val="clear" w:color="000000" w:fill="D4C19C"/>
            <w:vAlign w:val="center"/>
            <w:hideMark/>
          </w:tcPr>
          <w:p w14:paraId="284D9243"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Cifras en pesos</w:t>
            </w:r>
          </w:p>
        </w:tc>
      </w:tr>
      <w:tr w:rsidR="008C673E" w:rsidRPr="008C673E" w14:paraId="6D8104AC" w14:textId="77777777" w:rsidTr="000B4746">
        <w:trPr>
          <w:trHeight w:val="91"/>
        </w:trPr>
        <w:tc>
          <w:tcPr>
            <w:tcW w:w="3411" w:type="dxa"/>
            <w:vMerge/>
            <w:tcBorders>
              <w:top w:val="single" w:sz="12" w:space="0" w:color="808080"/>
              <w:left w:val="single" w:sz="12" w:space="0" w:color="FFFFFF"/>
              <w:bottom w:val="double" w:sz="6" w:space="0" w:color="808080"/>
              <w:right w:val="single" w:sz="12" w:space="0" w:color="FFFFFF"/>
            </w:tcBorders>
            <w:vAlign w:val="center"/>
            <w:hideMark/>
          </w:tcPr>
          <w:p w14:paraId="2D64899D" w14:textId="77777777" w:rsidR="008C673E" w:rsidRPr="008C673E" w:rsidRDefault="008C673E" w:rsidP="008C673E">
            <w:pPr>
              <w:spacing w:after="0" w:line="240" w:lineRule="auto"/>
              <w:rPr>
                <w:rFonts w:ascii="Montserrat" w:eastAsia="Times New Roman" w:hAnsi="Montserrat" w:cs="Calibri"/>
                <w:b/>
                <w:bCs/>
                <w:color w:val="FFFFFF"/>
                <w:sz w:val="16"/>
                <w:szCs w:val="16"/>
                <w:lang w:val="es-MX" w:eastAsia="es-MX"/>
              </w:rPr>
            </w:pPr>
          </w:p>
        </w:tc>
        <w:tc>
          <w:tcPr>
            <w:tcW w:w="9190" w:type="dxa"/>
            <w:gridSpan w:val="6"/>
            <w:tcBorders>
              <w:top w:val="single" w:sz="12" w:space="0" w:color="FFFFFF"/>
              <w:left w:val="nil"/>
              <w:bottom w:val="double" w:sz="6" w:space="0" w:color="808080"/>
              <w:right w:val="nil"/>
            </w:tcBorders>
            <w:shd w:val="clear" w:color="000000" w:fill="D4C19C"/>
            <w:vAlign w:val="center"/>
            <w:hideMark/>
          </w:tcPr>
          <w:p w14:paraId="050009B4" w14:textId="77777777" w:rsidR="008C673E" w:rsidRPr="008C673E" w:rsidRDefault="008125C9" w:rsidP="008125C9">
            <w:pPr>
              <w:spacing w:after="0" w:line="240" w:lineRule="auto"/>
              <w:jc w:val="center"/>
              <w:rPr>
                <w:rFonts w:ascii="Montserrat" w:eastAsia="Times New Roman" w:hAnsi="Montserrat" w:cs="Calibri"/>
                <w:b/>
                <w:bCs/>
                <w:color w:val="FFFFFF"/>
                <w:sz w:val="16"/>
                <w:szCs w:val="16"/>
                <w:lang w:eastAsia="es-MX"/>
              </w:rPr>
            </w:pPr>
            <w:r>
              <w:rPr>
                <w:rFonts w:ascii="Montserrat" w:eastAsia="Times New Roman" w:hAnsi="Montserrat" w:cs="Calibri"/>
                <w:b/>
                <w:bCs/>
                <w:color w:val="FFFFFF"/>
                <w:sz w:val="16"/>
                <w:szCs w:val="16"/>
                <w:lang w:eastAsia="es-MX"/>
              </w:rPr>
              <w:t xml:space="preserve">Septiembre </w:t>
            </w:r>
            <w:r w:rsidR="008C673E" w:rsidRPr="008C673E">
              <w:rPr>
                <w:rFonts w:ascii="Montserrat" w:eastAsia="Times New Roman" w:hAnsi="Montserrat" w:cs="Calibri"/>
                <w:b/>
                <w:bCs/>
                <w:color w:val="FFFFFF"/>
                <w:sz w:val="16"/>
                <w:szCs w:val="16"/>
                <w:lang w:eastAsia="es-MX"/>
              </w:rPr>
              <w:t>2022</w:t>
            </w:r>
          </w:p>
        </w:tc>
      </w:tr>
      <w:tr w:rsidR="0050726A" w:rsidRPr="008C673E" w14:paraId="7DEC5538" w14:textId="77777777" w:rsidTr="00AB2854">
        <w:trPr>
          <w:trHeight w:val="263"/>
        </w:trPr>
        <w:tc>
          <w:tcPr>
            <w:tcW w:w="3411" w:type="dxa"/>
            <w:vMerge/>
            <w:tcBorders>
              <w:top w:val="single" w:sz="12" w:space="0" w:color="808080"/>
              <w:left w:val="single" w:sz="12" w:space="0" w:color="FFFFFF"/>
              <w:bottom w:val="double" w:sz="6" w:space="0" w:color="808080"/>
              <w:right w:val="single" w:sz="12" w:space="0" w:color="FFFFFF"/>
            </w:tcBorders>
            <w:vAlign w:val="center"/>
            <w:hideMark/>
          </w:tcPr>
          <w:p w14:paraId="099D22DD" w14:textId="77777777" w:rsidR="008C673E" w:rsidRPr="008C673E" w:rsidRDefault="008C673E" w:rsidP="008C673E">
            <w:pPr>
              <w:spacing w:after="0" w:line="240" w:lineRule="auto"/>
              <w:rPr>
                <w:rFonts w:ascii="Montserrat" w:eastAsia="Times New Roman" w:hAnsi="Montserrat" w:cs="Calibri"/>
                <w:b/>
                <w:bCs/>
                <w:color w:val="FFFFFF"/>
                <w:sz w:val="16"/>
                <w:szCs w:val="16"/>
                <w:lang w:val="es-MX" w:eastAsia="es-MX"/>
              </w:rPr>
            </w:pPr>
          </w:p>
        </w:tc>
        <w:tc>
          <w:tcPr>
            <w:tcW w:w="1732" w:type="dxa"/>
            <w:gridSpan w:val="2"/>
            <w:tcBorders>
              <w:top w:val="nil"/>
              <w:left w:val="nil"/>
              <w:bottom w:val="double" w:sz="6" w:space="0" w:color="808080"/>
              <w:right w:val="single" w:sz="12" w:space="0" w:color="FFFFFF"/>
            </w:tcBorders>
            <w:shd w:val="clear" w:color="000000" w:fill="D4C19C"/>
            <w:vAlign w:val="center"/>
            <w:hideMark/>
          </w:tcPr>
          <w:p w14:paraId="6C4F2CCF"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Temporales</w:t>
            </w:r>
          </w:p>
        </w:tc>
        <w:tc>
          <w:tcPr>
            <w:tcW w:w="1778" w:type="dxa"/>
            <w:tcBorders>
              <w:top w:val="nil"/>
              <w:left w:val="nil"/>
              <w:bottom w:val="double" w:sz="6" w:space="0" w:color="808080"/>
              <w:right w:val="single" w:sz="12" w:space="0" w:color="FFFFFF"/>
            </w:tcBorders>
            <w:shd w:val="clear" w:color="000000" w:fill="D4C19C"/>
            <w:vAlign w:val="center"/>
            <w:hideMark/>
          </w:tcPr>
          <w:p w14:paraId="3476E7B4"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Corto Plazo</w:t>
            </w:r>
          </w:p>
        </w:tc>
        <w:tc>
          <w:tcPr>
            <w:tcW w:w="2061" w:type="dxa"/>
            <w:tcBorders>
              <w:top w:val="nil"/>
              <w:left w:val="nil"/>
              <w:bottom w:val="double" w:sz="6" w:space="0" w:color="808080"/>
              <w:right w:val="single" w:sz="12" w:space="0" w:color="FFFFFF"/>
            </w:tcBorders>
            <w:shd w:val="clear" w:color="000000" w:fill="D4C19C"/>
            <w:vAlign w:val="center"/>
            <w:hideMark/>
          </w:tcPr>
          <w:p w14:paraId="50A3AA73"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Largo Plazo</w:t>
            </w:r>
          </w:p>
        </w:tc>
        <w:tc>
          <w:tcPr>
            <w:tcW w:w="1683" w:type="dxa"/>
            <w:tcBorders>
              <w:top w:val="nil"/>
              <w:left w:val="nil"/>
              <w:bottom w:val="double" w:sz="6" w:space="0" w:color="808080"/>
              <w:right w:val="single" w:sz="12" w:space="0" w:color="FFFFFF"/>
            </w:tcBorders>
            <w:shd w:val="clear" w:color="000000" w:fill="D4C19C"/>
            <w:vAlign w:val="center"/>
            <w:hideMark/>
          </w:tcPr>
          <w:p w14:paraId="31CED140"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Instrumentos Financieros</w:t>
            </w:r>
          </w:p>
        </w:tc>
        <w:tc>
          <w:tcPr>
            <w:tcW w:w="1936" w:type="dxa"/>
            <w:tcBorders>
              <w:top w:val="nil"/>
              <w:left w:val="nil"/>
              <w:bottom w:val="double" w:sz="6" w:space="0" w:color="808080"/>
              <w:right w:val="single" w:sz="12" w:space="0" w:color="FFFFFF"/>
            </w:tcBorders>
            <w:shd w:val="clear" w:color="000000" w:fill="D4C19C"/>
            <w:vAlign w:val="center"/>
            <w:hideMark/>
          </w:tcPr>
          <w:p w14:paraId="663E4510" w14:textId="77777777" w:rsidR="008C673E" w:rsidRPr="008C673E" w:rsidRDefault="008C673E" w:rsidP="008C673E">
            <w:pPr>
              <w:spacing w:after="0" w:line="240" w:lineRule="auto"/>
              <w:jc w:val="center"/>
              <w:rPr>
                <w:rFonts w:ascii="Montserrat" w:eastAsia="Times New Roman" w:hAnsi="Montserrat" w:cs="Calibri"/>
                <w:b/>
                <w:bCs/>
                <w:color w:val="FFFFFF"/>
                <w:sz w:val="16"/>
                <w:szCs w:val="16"/>
                <w:lang w:val="es-MX" w:eastAsia="es-MX"/>
              </w:rPr>
            </w:pPr>
            <w:r w:rsidRPr="008C673E">
              <w:rPr>
                <w:rFonts w:ascii="Montserrat" w:eastAsia="Times New Roman" w:hAnsi="Montserrat" w:cs="Calibri"/>
                <w:b/>
                <w:bCs/>
                <w:color w:val="FFFFFF"/>
                <w:sz w:val="16"/>
                <w:szCs w:val="16"/>
                <w:lang w:eastAsia="es-MX"/>
              </w:rPr>
              <w:t>Provisión</w:t>
            </w:r>
          </w:p>
        </w:tc>
      </w:tr>
      <w:tr w:rsidR="00882FA2" w:rsidRPr="008C673E" w14:paraId="6132DECD" w14:textId="77777777" w:rsidTr="000B4746">
        <w:trPr>
          <w:trHeight w:val="405"/>
        </w:trPr>
        <w:tc>
          <w:tcPr>
            <w:tcW w:w="3411" w:type="dxa"/>
            <w:tcBorders>
              <w:top w:val="nil"/>
              <w:left w:val="nil"/>
              <w:bottom w:val="nil"/>
              <w:right w:val="nil"/>
            </w:tcBorders>
            <w:shd w:val="clear" w:color="000000" w:fill="F2F2F2"/>
            <w:vAlign w:val="center"/>
            <w:hideMark/>
          </w:tcPr>
          <w:p w14:paraId="6E8E4073" w14:textId="77777777" w:rsidR="00882FA2" w:rsidRPr="008C673E" w:rsidRDefault="00882FA2" w:rsidP="00882FA2">
            <w:pPr>
              <w:spacing w:after="0" w:line="240" w:lineRule="auto"/>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Reserva de Operación para Contingencia y Financiamiento (ROCF)</w:t>
            </w:r>
          </w:p>
        </w:tc>
        <w:tc>
          <w:tcPr>
            <w:tcW w:w="1444" w:type="dxa"/>
            <w:tcBorders>
              <w:top w:val="nil"/>
              <w:left w:val="nil"/>
              <w:bottom w:val="nil"/>
              <w:right w:val="nil"/>
            </w:tcBorders>
            <w:shd w:val="clear" w:color="000000" w:fill="F2F2F2"/>
            <w:vAlign w:val="center"/>
            <w:hideMark/>
          </w:tcPr>
          <w:p w14:paraId="624B6666"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16,230,199,209.9</w:t>
            </w:r>
          </w:p>
        </w:tc>
        <w:tc>
          <w:tcPr>
            <w:tcW w:w="2066" w:type="dxa"/>
            <w:gridSpan w:val="2"/>
            <w:tcBorders>
              <w:top w:val="nil"/>
              <w:left w:val="nil"/>
              <w:bottom w:val="nil"/>
              <w:right w:val="nil"/>
            </w:tcBorders>
            <w:shd w:val="clear" w:color="000000" w:fill="F2F2F2"/>
            <w:vAlign w:val="center"/>
            <w:hideMark/>
          </w:tcPr>
          <w:p w14:paraId="01A4432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10,194,995,402.8</w:t>
            </w:r>
          </w:p>
        </w:tc>
        <w:tc>
          <w:tcPr>
            <w:tcW w:w="2061" w:type="dxa"/>
            <w:tcBorders>
              <w:top w:val="nil"/>
              <w:left w:val="nil"/>
              <w:bottom w:val="nil"/>
              <w:right w:val="nil"/>
            </w:tcBorders>
            <w:shd w:val="clear" w:color="000000" w:fill="F2F2F2"/>
            <w:vAlign w:val="center"/>
            <w:hideMark/>
          </w:tcPr>
          <w:p w14:paraId="15B1F35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47,062,783,442.5</w:t>
            </w:r>
          </w:p>
        </w:tc>
        <w:tc>
          <w:tcPr>
            <w:tcW w:w="1683" w:type="dxa"/>
            <w:tcBorders>
              <w:top w:val="nil"/>
              <w:left w:val="nil"/>
              <w:bottom w:val="nil"/>
              <w:right w:val="nil"/>
            </w:tcBorders>
            <w:shd w:val="clear" w:color="000000" w:fill="F2F2F2"/>
            <w:vAlign w:val="center"/>
            <w:hideMark/>
          </w:tcPr>
          <w:p w14:paraId="66CFEEF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73,487,978,055.2</w:t>
            </w:r>
          </w:p>
        </w:tc>
        <w:tc>
          <w:tcPr>
            <w:tcW w:w="1936" w:type="dxa"/>
            <w:tcBorders>
              <w:top w:val="nil"/>
              <w:left w:val="nil"/>
              <w:bottom w:val="nil"/>
              <w:right w:val="nil"/>
            </w:tcBorders>
            <w:shd w:val="clear" w:color="000000" w:fill="F2F2F2"/>
            <w:vAlign w:val="center"/>
            <w:hideMark/>
          </w:tcPr>
          <w:p w14:paraId="5210950C"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73,487,978,055.2</w:t>
            </w:r>
          </w:p>
        </w:tc>
      </w:tr>
      <w:tr w:rsidR="00882FA2" w:rsidRPr="008C673E" w14:paraId="22A95892" w14:textId="77777777" w:rsidTr="000B4746">
        <w:trPr>
          <w:trHeight w:val="390"/>
        </w:trPr>
        <w:tc>
          <w:tcPr>
            <w:tcW w:w="3411" w:type="dxa"/>
            <w:tcBorders>
              <w:top w:val="nil"/>
              <w:left w:val="nil"/>
              <w:bottom w:val="nil"/>
              <w:right w:val="nil"/>
            </w:tcBorders>
            <w:shd w:val="clear" w:color="000000" w:fill="F2F2F2"/>
            <w:vAlign w:val="center"/>
            <w:hideMark/>
          </w:tcPr>
          <w:p w14:paraId="779A3875"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Reserva General Financiera y Actuarial (RGFA)</w:t>
            </w:r>
            <w:r>
              <w:rPr>
                <w:rFonts w:ascii="Montserrat" w:eastAsia="Times New Roman" w:hAnsi="Montserrat" w:cs="Calibri"/>
                <w:color w:val="000000"/>
                <w:sz w:val="15"/>
                <w:szCs w:val="15"/>
                <w:lang w:eastAsia="es-MX"/>
              </w:rPr>
              <w:t xml:space="preserve"> </w:t>
            </w:r>
            <w:r w:rsidRPr="004F6B3A">
              <w:rPr>
                <w:rFonts w:ascii="Montserrat" w:eastAsia="Times New Roman" w:hAnsi="Montserrat" w:cs="Calibri"/>
                <w:b/>
                <w:bCs/>
                <w:color w:val="000000"/>
                <w:sz w:val="15"/>
                <w:szCs w:val="15"/>
                <w:lang w:eastAsia="es-MX"/>
              </w:rPr>
              <w:t>(1.7.a.1)</w:t>
            </w:r>
          </w:p>
        </w:tc>
        <w:tc>
          <w:tcPr>
            <w:tcW w:w="1444" w:type="dxa"/>
            <w:tcBorders>
              <w:top w:val="nil"/>
              <w:left w:val="nil"/>
              <w:bottom w:val="nil"/>
              <w:right w:val="nil"/>
            </w:tcBorders>
            <w:shd w:val="clear" w:color="000000" w:fill="F2F2F2"/>
            <w:vAlign w:val="center"/>
            <w:hideMark/>
          </w:tcPr>
          <w:p w14:paraId="7274E67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2,256,175,144.3</w:t>
            </w:r>
          </w:p>
        </w:tc>
        <w:tc>
          <w:tcPr>
            <w:tcW w:w="2066" w:type="dxa"/>
            <w:gridSpan w:val="2"/>
            <w:tcBorders>
              <w:top w:val="nil"/>
              <w:left w:val="nil"/>
              <w:bottom w:val="nil"/>
              <w:right w:val="nil"/>
            </w:tcBorders>
            <w:shd w:val="clear" w:color="000000" w:fill="F2F2F2"/>
            <w:vAlign w:val="center"/>
            <w:hideMark/>
          </w:tcPr>
          <w:p w14:paraId="09BAA77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4,139,441,596.5</w:t>
            </w:r>
          </w:p>
        </w:tc>
        <w:tc>
          <w:tcPr>
            <w:tcW w:w="2061" w:type="dxa"/>
            <w:tcBorders>
              <w:top w:val="nil"/>
              <w:left w:val="nil"/>
              <w:bottom w:val="nil"/>
              <w:right w:val="nil"/>
            </w:tcBorders>
            <w:shd w:val="clear" w:color="000000" w:fill="F2F2F2"/>
            <w:vAlign w:val="center"/>
            <w:hideMark/>
          </w:tcPr>
          <w:p w14:paraId="58B775A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2,160,461,024.1</w:t>
            </w:r>
          </w:p>
        </w:tc>
        <w:tc>
          <w:tcPr>
            <w:tcW w:w="1683" w:type="dxa"/>
            <w:tcBorders>
              <w:top w:val="nil"/>
              <w:left w:val="nil"/>
              <w:bottom w:val="nil"/>
              <w:right w:val="nil"/>
            </w:tcBorders>
            <w:shd w:val="clear" w:color="000000" w:fill="F2F2F2"/>
            <w:vAlign w:val="center"/>
            <w:hideMark/>
          </w:tcPr>
          <w:p w14:paraId="1129069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8,556,077,764.9</w:t>
            </w:r>
          </w:p>
        </w:tc>
        <w:tc>
          <w:tcPr>
            <w:tcW w:w="1936" w:type="dxa"/>
            <w:tcBorders>
              <w:top w:val="nil"/>
              <w:left w:val="nil"/>
              <w:bottom w:val="nil"/>
              <w:right w:val="nil"/>
            </w:tcBorders>
            <w:shd w:val="clear" w:color="000000" w:fill="F2F2F2"/>
            <w:vAlign w:val="center"/>
            <w:hideMark/>
          </w:tcPr>
          <w:p w14:paraId="6DEFC6C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8,562,443,215.0</w:t>
            </w:r>
          </w:p>
        </w:tc>
      </w:tr>
      <w:tr w:rsidR="00882FA2" w:rsidRPr="008C673E" w14:paraId="3B4740FD" w14:textId="77777777" w:rsidTr="000B4746">
        <w:trPr>
          <w:trHeight w:val="300"/>
        </w:trPr>
        <w:tc>
          <w:tcPr>
            <w:tcW w:w="3411" w:type="dxa"/>
            <w:tcBorders>
              <w:top w:val="nil"/>
              <w:left w:val="nil"/>
              <w:bottom w:val="nil"/>
              <w:right w:val="nil"/>
            </w:tcBorders>
            <w:shd w:val="clear" w:color="000000" w:fill="F2F2F2"/>
            <w:vAlign w:val="center"/>
            <w:hideMark/>
          </w:tcPr>
          <w:p w14:paraId="55B7AD2F"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RFA Gastos Médicos de Pensionados</w:t>
            </w:r>
          </w:p>
        </w:tc>
        <w:tc>
          <w:tcPr>
            <w:tcW w:w="1444" w:type="dxa"/>
            <w:tcBorders>
              <w:top w:val="nil"/>
              <w:left w:val="nil"/>
              <w:bottom w:val="nil"/>
              <w:right w:val="nil"/>
            </w:tcBorders>
            <w:shd w:val="clear" w:color="000000" w:fill="F2F2F2"/>
            <w:vAlign w:val="center"/>
            <w:hideMark/>
          </w:tcPr>
          <w:p w14:paraId="027BBD3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800,820,211.0</w:t>
            </w:r>
          </w:p>
        </w:tc>
        <w:tc>
          <w:tcPr>
            <w:tcW w:w="2066" w:type="dxa"/>
            <w:gridSpan w:val="2"/>
            <w:tcBorders>
              <w:top w:val="nil"/>
              <w:left w:val="nil"/>
              <w:bottom w:val="nil"/>
              <w:right w:val="nil"/>
            </w:tcBorders>
            <w:shd w:val="clear" w:color="000000" w:fill="F2F2F2"/>
            <w:vAlign w:val="center"/>
            <w:hideMark/>
          </w:tcPr>
          <w:p w14:paraId="6017ACD8"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1,698,572,939.9</w:t>
            </w:r>
          </w:p>
        </w:tc>
        <w:tc>
          <w:tcPr>
            <w:tcW w:w="2061" w:type="dxa"/>
            <w:tcBorders>
              <w:top w:val="nil"/>
              <w:left w:val="nil"/>
              <w:bottom w:val="nil"/>
              <w:right w:val="nil"/>
            </w:tcBorders>
            <w:shd w:val="clear" w:color="000000" w:fill="F2F2F2"/>
            <w:vAlign w:val="center"/>
            <w:hideMark/>
          </w:tcPr>
          <w:p w14:paraId="074EB297"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35,352,491,706.4</w:t>
            </w:r>
          </w:p>
        </w:tc>
        <w:tc>
          <w:tcPr>
            <w:tcW w:w="1683" w:type="dxa"/>
            <w:tcBorders>
              <w:top w:val="nil"/>
              <w:left w:val="nil"/>
              <w:bottom w:val="nil"/>
              <w:right w:val="nil"/>
            </w:tcBorders>
            <w:shd w:val="clear" w:color="000000" w:fill="F2F2F2"/>
            <w:vAlign w:val="center"/>
            <w:hideMark/>
          </w:tcPr>
          <w:p w14:paraId="7126065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37,851,884,857.3</w:t>
            </w:r>
          </w:p>
        </w:tc>
        <w:tc>
          <w:tcPr>
            <w:tcW w:w="1936" w:type="dxa"/>
            <w:tcBorders>
              <w:top w:val="nil"/>
              <w:left w:val="nil"/>
              <w:bottom w:val="nil"/>
              <w:right w:val="nil"/>
            </w:tcBorders>
            <w:shd w:val="clear" w:color="000000" w:fill="F2F2F2"/>
            <w:vAlign w:val="center"/>
            <w:hideMark/>
          </w:tcPr>
          <w:p w14:paraId="5ACE66B6"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37,851,884,857.3</w:t>
            </w:r>
          </w:p>
        </w:tc>
      </w:tr>
      <w:tr w:rsidR="00882FA2" w:rsidRPr="008C673E" w14:paraId="5F031FF8" w14:textId="77777777" w:rsidTr="000B4746">
        <w:trPr>
          <w:trHeight w:val="390"/>
        </w:trPr>
        <w:tc>
          <w:tcPr>
            <w:tcW w:w="3411" w:type="dxa"/>
            <w:tcBorders>
              <w:top w:val="nil"/>
              <w:left w:val="nil"/>
              <w:bottom w:val="nil"/>
              <w:right w:val="nil"/>
            </w:tcBorders>
            <w:shd w:val="clear" w:color="000000" w:fill="F2F2F2"/>
            <w:vAlign w:val="center"/>
            <w:hideMark/>
          </w:tcPr>
          <w:p w14:paraId="379500D4"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RFA Seguro de Enfermedad y Maternidad</w:t>
            </w:r>
          </w:p>
        </w:tc>
        <w:tc>
          <w:tcPr>
            <w:tcW w:w="1444" w:type="dxa"/>
            <w:tcBorders>
              <w:top w:val="nil"/>
              <w:left w:val="nil"/>
              <w:bottom w:val="nil"/>
              <w:right w:val="nil"/>
            </w:tcBorders>
            <w:shd w:val="clear" w:color="000000" w:fill="F2F2F2"/>
            <w:vAlign w:val="center"/>
            <w:hideMark/>
          </w:tcPr>
          <w:p w14:paraId="6A4D9377"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5,157,344,434.1</w:t>
            </w:r>
          </w:p>
        </w:tc>
        <w:tc>
          <w:tcPr>
            <w:tcW w:w="2066" w:type="dxa"/>
            <w:gridSpan w:val="2"/>
            <w:tcBorders>
              <w:top w:val="nil"/>
              <w:left w:val="nil"/>
              <w:bottom w:val="nil"/>
              <w:right w:val="nil"/>
            </w:tcBorders>
            <w:shd w:val="clear" w:color="000000" w:fill="F2F2F2"/>
            <w:vAlign w:val="center"/>
            <w:hideMark/>
          </w:tcPr>
          <w:p w14:paraId="3D1F1CE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2,411,182,922.9</w:t>
            </w:r>
          </w:p>
        </w:tc>
        <w:tc>
          <w:tcPr>
            <w:tcW w:w="2061" w:type="dxa"/>
            <w:tcBorders>
              <w:top w:val="nil"/>
              <w:left w:val="nil"/>
              <w:bottom w:val="nil"/>
              <w:right w:val="nil"/>
            </w:tcBorders>
            <w:shd w:val="clear" w:color="000000" w:fill="F2F2F2"/>
            <w:vAlign w:val="center"/>
            <w:hideMark/>
          </w:tcPr>
          <w:p w14:paraId="6DA41671"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55,118,990,307.4</w:t>
            </w:r>
          </w:p>
        </w:tc>
        <w:tc>
          <w:tcPr>
            <w:tcW w:w="1683" w:type="dxa"/>
            <w:tcBorders>
              <w:top w:val="nil"/>
              <w:left w:val="nil"/>
              <w:bottom w:val="nil"/>
              <w:right w:val="nil"/>
            </w:tcBorders>
            <w:shd w:val="clear" w:color="000000" w:fill="F2F2F2"/>
            <w:vAlign w:val="center"/>
            <w:hideMark/>
          </w:tcPr>
          <w:p w14:paraId="4AFDCF0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62,687,517,664.4</w:t>
            </w:r>
          </w:p>
        </w:tc>
        <w:tc>
          <w:tcPr>
            <w:tcW w:w="1936" w:type="dxa"/>
            <w:tcBorders>
              <w:top w:val="nil"/>
              <w:left w:val="nil"/>
              <w:bottom w:val="nil"/>
              <w:right w:val="nil"/>
            </w:tcBorders>
            <w:shd w:val="clear" w:color="000000" w:fill="F2F2F2"/>
            <w:vAlign w:val="center"/>
            <w:hideMark/>
          </w:tcPr>
          <w:p w14:paraId="05FD3C68"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62,687,517,664.4</w:t>
            </w:r>
          </w:p>
        </w:tc>
      </w:tr>
      <w:tr w:rsidR="00882FA2" w:rsidRPr="008C673E" w14:paraId="3CCE3207" w14:textId="77777777" w:rsidTr="000B4746">
        <w:trPr>
          <w:trHeight w:val="390"/>
        </w:trPr>
        <w:tc>
          <w:tcPr>
            <w:tcW w:w="3411" w:type="dxa"/>
            <w:tcBorders>
              <w:top w:val="nil"/>
              <w:left w:val="nil"/>
              <w:bottom w:val="nil"/>
              <w:right w:val="nil"/>
            </w:tcBorders>
            <w:shd w:val="clear" w:color="000000" w:fill="F2F2F2"/>
            <w:vAlign w:val="center"/>
            <w:hideMark/>
          </w:tcPr>
          <w:p w14:paraId="15EE6428"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RFA Seguro de Guarderías y Prestaciones Sociales</w:t>
            </w:r>
          </w:p>
        </w:tc>
        <w:tc>
          <w:tcPr>
            <w:tcW w:w="1444" w:type="dxa"/>
            <w:tcBorders>
              <w:top w:val="nil"/>
              <w:left w:val="nil"/>
              <w:bottom w:val="nil"/>
              <w:right w:val="nil"/>
            </w:tcBorders>
            <w:shd w:val="clear" w:color="000000" w:fill="F2F2F2"/>
            <w:vAlign w:val="center"/>
            <w:hideMark/>
          </w:tcPr>
          <w:p w14:paraId="75851E0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64,533,658.8</w:t>
            </w:r>
          </w:p>
        </w:tc>
        <w:tc>
          <w:tcPr>
            <w:tcW w:w="2066" w:type="dxa"/>
            <w:gridSpan w:val="2"/>
            <w:tcBorders>
              <w:top w:val="nil"/>
              <w:left w:val="nil"/>
              <w:bottom w:val="nil"/>
              <w:right w:val="nil"/>
            </w:tcBorders>
            <w:shd w:val="clear" w:color="000000" w:fill="F2F2F2"/>
            <w:vAlign w:val="center"/>
            <w:hideMark/>
          </w:tcPr>
          <w:p w14:paraId="0EDF02E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1C7E856D"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88,896,606.5</w:t>
            </w:r>
          </w:p>
        </w:tc>
        <w:tc>
          <w:tcPr>
            <w:tcW w:w="1683" w:type="dxa"/>
            <w:tcBorders>
              <w:top w:val="nil"/>
              <w:left w:val="nil"/>
              <w:bottom w:val="nil"/>
              <w:right w:val="nil"/>
            </w:tcBorders>
            <w:shd w:val="clear" w:color="000000" w:fill="F2F2F2"/>
            <w:vAlign w:val="center"/>
            <w:hideMark/>
          </w:tcPr>
          <w:p w14:paraId="3CD15A9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153,430,265.3</w:t>
            </w:r>
          </w:p>
        </w:tc>
        <w:tc>
          <w:tcPr>
            <w:tcW w:w="1936" w:type="dxa"/>
            <w:tcBorders>
              <w:top w:val="nil"/>
              <w:left w:val="nil"/>
              <w:bottom w:val="nil"/>
              <w:right w:val="nil"/>
            </w:tcBorders>
            <w:shd w:val="clear" w:color="000000" w:fill="F2F2F2"/>
            <w:vAlign w:val="center"/>
            <w:hideMark/>
          </w:tcPr>
          <w:p w14:paraId="468D7BA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153,430,265.3</w:t>
            </w:r>
          </w:p>
        </w:tc>
      </w:tr>
      <w:tr w:rsidR="00882FA2" w:rsidRPr="008C673E" w14:paraId="50E64649" w14:textId="77777777" w:rsidTr="000B4746">
        <w:trPr>
          <w:trHeight w:val="300"/>
        </w:trPr>
        <w:tc>
          <w:tcPr>
            <w:tcW w:w="3411" w:type="dxa"/>
            <w:tcBorders>
              <w:top w:val="nil"/>
              <w:left w:val="nil"/>
              <w:bottom w:val="nil"/>
              <w:right w:val="nil"/>
            </w:tcBorders>
            <w:shd w:val="clear" w:color="000000" w:fill="F2F2F2"/>
            <w:vAlign w:val="center"/>
            <w:hideMark/>
          </w:tcPr>
          <w:p w14:paraId="4D620764"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RFA Invalidez y Vida</w:t>
            </w:r>
          </w:p>
        </w:tc>
        <w:tc>
          <w:tcPr>
            <w:tcW w:w="1444" w:type="dxa"/>
            <w:tcBorders>
              <w:top w:val="nil"/>
              <w:left w:val="nil"/>
              <w:bottom w:val="nil"/>
              <w:right w:val="nil"/>
            </w:tcBorders>
            <w:shd w:val="clear" w:color="000000" w:fill="F2F2F2"/>
            <w:vAlign w:val="center"/>
            <w:hideMark/>
          </w:tcPr>
          <w:p w14:paraId="44C260C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863,106,506.4</w:t>
            </w:r>
          </w:p>
        </w:tc>
        <w:tc>
          <w:tcPr>
            <w:tcW w:w="2066" w:type="dxa"/>
            <w:gridSpan w:val="2"/>
            <w:tcBorders>
              <w:top w:val="nil"/>
              <w:left w:val="nil"/>
              <w:bottom w:val="nil"/>
              <w:right w:val="nil"/>
            </w:tcBorders>
            <w:shd w:val="clear" w:color="000000" w:fill="F2F2F2"/>
            <w:vAlign w:val="center"/>
            <w:hideMark/>
          </w:tcPr>
          <w:p w14:paraId="700820F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02E4853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19,107,647,896.1</w:t>
            </w:r>
          </w:p>
        </w:tc>
        <w:tc>
          <w:tcPr>
            <w:tcW w:w="1683" w:type="dxa"/>
            <w:tcBorders>
              <w:top w:val="nil"/>
              <w:left w:val="nil"/>
              <w:bottom w:val="nil"/>
              <w:right w:val="nil"/>
            </w:tcBorders>
            <w:shd w:val="clear" w:color="000000" w:fill="F2F2F2"/>
            <w:vAlign w:val="center"/>
            <w:hideMark/>
          </w:tcPr>
          <w:p w14:paraId="13D6286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19,970,754,402.5</w:t>
            </w:r>
          </w:p>
        </w:tc>
        <w:tc>
          <w:tcPr>
            <w:tcW w:w="1936" w:type="dxa"/>
            <w:tcBorders>
              <w:top w:val="nil"/>
              <w:left w:val="nil"/>
              <w:bottom w:val="nil"/>
              <w:right w:val="nil"/>
            </w:tcBorders>
            <w:shd w:val="clear" w:color="000000" w:fill="F2F2F2"/>
            <w:vAlign w:val="center"/>
            <w:hideMark/>
          </w:tcPr>
          <w:p w14:paraId="19D9BAF7"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19,970,754,402.5</w:t>
            </w:r>
          </w:p>
        </w:tc>
      </w:tr>
      <w:tr w:rsidR="00882FA2" w:rsidRPr="008C673E" w14:paraId="358831C1" w14:textId="77777777" w:rsidTr="000B4746">
        <w:trPr>
          <w:trHeight w:val="300"/>
        </w:trPr>
        <w:tc>
          <w:tcPr>
            <w:tcW w:w="3411" w:type="dxa"/>
            <w:tcBorders>
              <w:top w:val="nil"/>
              <w:left w:val="nil"/>
              <w:bottom w:val="nil"/>
              <w:right w:val="nil"/>
            </w:tcBorders>
            <w:shd w:val="clear" w:color="000000" w:fill="F2F2F2"/>
            <w:vAlign w:val="center"/>
            <w:hideMark/>
          </w:tcPr>
          <w:p w14:paraId="2D232CF9"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RFA Riesgo de Trabajo</w:t>
            </w:r>
          </w:p>
        </w:tc>
        <w:tc>
          <w:tcPr>
            <w:tcW w:w="1444" w:type="dxa"/>
            <w:tcBorders>
              <w:top w:val="nil"/>
              <w:left w:val="nil"/>
              <w:bottom w:val="nil"/>
              <w:right w:val="nil"/>
            </w:tcBorders>
            <w:shd w:val="clear" w:color="000000" w:fill="F2F2F2"/>
            <w:vAlign w:val="center"/>
            <w:hideMark/>
          </w:tcPr>
          <w:p w14:paraId="398106C1"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396,204,329.6</w:t>
            </w:r>
          </w:p>
        </w:tc>
        <w:tc>
          <w:tcPr>
            <w:tcW w:w="2066" w:type="dxa"/>
            <w:gridSpan w:val="2"/>
            <w:tcBorders>
              <w:top w:val="nil"/>
              <w:left w:val="nil"/>
              <w:bottom w:val="nil"/>
              <w:right w:val="nil"/>
            </w:tcBorders>
            <w:shd w:val="clear" w:color="000000" w:fill="F2F2F2"/>
            <w:vAlign w:val="center"/>
            <w:hideMark/>
          </w:tcPr>
          <w:p w14:paraId="25ECD9B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0A69969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14,785,120,708.5</w:t>
            </w:r>
          </w:p>
        </w:tc>
        <w:tc>
          <w:tcPr>
            <w:tcW w:w="1683" w:type="dxa"/>
            <w:tcBorders>
              <w:top w:val="nil"/>
              <w:left w:val="nil"/>
              <w:bottom w:val="nil"/>
              <w:right w:val="nil"/>
            </w:tcBorders>
            <w:shd w:val="clear" w:color="000000" w:fill="F2F2F2"/>
            <w:vAlign w:val="center"/>
            <w:hideMark/>
          </w:tcPr>
          <w:p w14:paraId="0FC275B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15,181,325,038.1</w:t>
            </w:r>
          </w:p>
        </w:tc>
        <w:tc>
          <w:tcPr>
            <w:tcW w:w="1936" w:type="dxa"/>
            <w:tcBorders>
              <w:top w:val="nil"/>
              <w:left w:val="nil"/>
              <w:bottom w:val="nil"/>
              <w:right w:val="nil"/>
            </w:tcBorders>
            <w:shd w:val="clear" w:color="000000" w:fill="F2F2F2"/>
            <w:vAlign w:val="center"/>
            <w:hideMark/>
          </w:tcPr>
          <w:p w14:paraId="322AF866"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15,181,325,038.1</w:t>
            </w:r>
          </w:p>
        </w:tc>
      </w:tr>
      <w:tr w:rsidR="00882FA2" w:rsidRPr="008C673E" w14:paraId="22514493" w14:textId="77777777" w:rsidTr="000B4746">
        <w:trPr>
          <w:trHeight w:val="267"/>
        </w:trPr>
        <w:tc>
          <w:tcPr>
            <w:tcW w:w="3411" w:type="dxa"/>
            <w:tcBorders>
              <w:top w:val="nil"/>
              <w:left w:val="nil"/>
              <w:bottom w:val="nil"/>
              <w:right w:val="nil"/>
            </w:tcBorders>
            <w:shd w:val="clear" w:color="000000" w:fill="F2F2F2"/>
            <w:vAlign w:val="center"/>
            <w:hideMark/>
          </w:tcPr>
          <w:p w14:paraId="44E984A4" w14:textId="77777777" w:rsidR="00882FA2" w:rsidRPr="008C673E" w:rsidRDefault="00882FA2" w:rsidP="00882FA2">
            <w:pPr>
              <w:spacing w:after="0" w:line="240" w:lineRule="auto"/>
              <w:jc w:val="both"/>
              <w:rPr>
                <w:rFonts w:ascii="Montserrat" w:eastAsia="Times New Roman" w:hAnsi="Montserrat" w:cs="Calibri"/>
                <w:b/>
                <w:bCs/>
                <w:color w:val="000000"/>
                <w:sz w:val="15"/>
                <w:szCs w:val="15"/>
                <w:lang w:val="es-MX" w:eastAsia="es-MX"/>
              </w:rPr>
            </w:pPr>
            <w:r w:rsidRPr="008C673E">
              <w:rPr>
                <w:rFonts w:ascii="Montserrat" w:eastAsia="Times New Roman" w:hAnsi="Montserrat" w:cs="Calibri"/>
                <w:b/>
                <w:bCs/>
                <w:color w:val="000000"/>
                <w:sz w:val="15"/>
                <w:szCs w:val="15"/>
                <w:lang w:eastAsia="es-MX"/>
              </w:rPr>
              <w:t>Subtotal</w:t>
            </w:r>
          </w:p>
        </w:tc>
        <w:tc>
          <w:tcPr>
            <w:tcW w:w="1444" w:type="dxa"/>
            <w:tcBorders>
              <w:top w:val="nil"/>
              <w:left w:val="nil"/>
              <w:bottom w:val="nil"/>
              <w:right w:val="nil"/>
            </w:tcBorders>
            <w:shd w:val="clear" w:color="000000" w:fill="F2F2F2"/>
            <w:vAlign w:val="center"/>
            <w:hideMark/>
          </w:tcPr>
          <w:p w14:paraId="4D926503"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25,768,383,494.1</w:t>
            </w:r>
          </w:p>
        </w:tc>
        <w:tc>
          <w:tcPr>
            <w:tcW w:w="2066" w:type="dxa"/>
            <w:gridSpan w:val="2"/>
            <w:tcBorders>
              <w:top w:val="nil"/>
              <w:left w:val="nil"/>
              <w:bottom w:val="nil"/>
              <w:right w:val="nil"/>
            </w:tcBorders>
            <w:shd w:val="clear" w:color="000000" w:fill="F2F2F2"/>
            <w:vAlign w:val="center"/>
            <w:hideMark/>
          </w:tcPr>
          <w:p w14:paraId="043A1157"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18,444,192,862.1</w:t>
            </w:r>
          </w:p>
        </w:tc>
        <w:tc>
          <w:tcPr>
            <w:tcW w:w="2061" w:type="dxa"/>
            <w:tcBorders>
              <w:top w:val="nil"/>
              <w:left w:val="nil"/>
              <w:bottom w:val="nil"/>
              <w:right w:val="nil"/>
            </w:tcBorders>
            <w:shd w:val="clear" w:color="000000" w:fill="F2F2F2"/>
            <w:vAlign w:val="center"/>
            <w:hideMark/>
          </w:tcPr>
          <w:p w14:paraId="42B7E3A3"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173,676,391,691.5</w:t>
            </w:r>
          </w:p>
        </w:tc>
        <w:tc>
          <w:tcPr>
            <w:tcW w:w="1683" w:type="dxa"/>
            <w:tcBorders>
              <w:top w:val="nil"/>
              <w:left w:val="nil"/>
              <w:bottom w:val="nil"/>
              <w:right w:val="nil"/>
            </w:tcBorders>
            <w:shd w:val="clear" w:color="000000" w:fill="F2F2F2"/>
            <w:vAlign w:val="center"/>
            <w:hideMark/>
          </w:tcPr>
          <w:p w14:paraId="23A4C46D"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217,888,968,047.7</w:t>
            </w:r>
          </w:p>
        </w:tc>
        <w:tc>
          <w:tcPr>
            <w:tcW w:w="1936" w:type="dxa"/>
            <w:tcBorders>
              <w:top w:val="nil"/>
              <w:left w:val="nil"/>
              <w:bottom w:val="nil"/>
              <w:right w:val="nil"/>
            </w:tcBorders>
            <w:shd w:val="clear" w:color="000000" w:fill="F2F2F2"/>
            <w:vAlign w:val="center"/>
            <w:hideMark/>
          </w:tcPr>
          <w:p w14:paraId="031045C5"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217,895,333,497.8</w:t>
            </w:r>
          </w:p>
        </w:tc>
      </w:tr>
      <w:tr w:rsidR="00882FA2" w:rsidRPr="008C673E" w14:paraId="741EA933" w14:textId="77777777" w:rsidTr="000B4746">
        <w:trPr>
          <w:trHeight w:val="174"/>
        </w:trPr>
        <w:tc>
          <w:tcPr>
            <w:tcW w:w="3411" w:type="dxa"/>
            <w:tcBorders>
              <w:top w:val="nil"/>
              <w:left w:val="nil"/>
              <w:bottom w:val="nil"/>
              <w:right w:val="nil"/>
            </w:tcBorders>
            <w:shd w:val="clear" w:color="000000" w:fill="F2F2F2"/>
            <w:vAlign w:val="center"/>
            <w:hideMark/>
          </w:tcPr>
          <w:p w14:paraId="22C0831D"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Subcuenta 1 (RJPS1)</w:t>
            </w:r>
            <w:r>
              <w:rPr>
                <w:rFonts w:ascii="Montserrat" w:eastAsia="Times New Roman" w:hAnsi="Montserrat" w:cs="Calibri"/>
                <w:color w:val="000000"/>
                <w:sz w:val="15"/>
                <w:szCs w:val="15"/>
                <w:lang w:eastAsia="es-MX"/>
              </w:rPr>
              <w:t xml:space="preserve"> </w:t>
            </w:r>
            <w:r w:rsidRPr="004F6B3A">
              <w:rPr>
                <w:rFonts w:ascii="Montserrat" w:eastAsia="Times New Roman" w:hAnsi="Montserrat" w:cs="Calibri"/>
                <w:b/>
                <w:bCs/>
                <w:color w:val="000000"/>
                <w:sz w:val="15"/>
                <w:szCs w:val="15"/>
                <w:lang w:eastAsia="es-MX"/>
              </w:rPr>
              <w:t>(1.7.a.2)</w:t>
            </w:r>
          </w:p>
        </w:tc>
        <w:tc>
          <w:tcPr>
            <w:tcW w:w="1444" w:type="dxa"/>
            <w:tcBorders>
              <w:top w:val="nil"/>
              <w:left w:val="nil"/>
              <w:bottom w:val="nil"/>
              <w:right w:val="nil"/>
            </w:tcBorders>
            <w:shd w:val="clear" w:color="000000" w:fill="F2F2F2"/>
            <w:vAlign w:val="center"/>
            <w:hideMark/>
          </w:tcPr>
          <w:p w14:paraId="4E72B37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1,830,385,599.2</w:t>
            </w:r>
          </w:p>
        </w:tc>
        <w:tc>
          <w:tcPr>
            <w:tcW w:w="2066" w:type="dxa"/>
            <w:gridSpan w:val="2"/>
            <w:tcBorders>
              <w:top w:val="nil"/>
              <w:left w:val="nil"/>
              <w:bottom w:val="nil"/>
              <w:right w:val="nil"/>
            </w:tcBorders>
            <w:shd w:val="clear" w:color="000000" w:fill="F2F2F2"/>
            <w:vAlign w:val="center"/>
            <w:hideMark/>
          </w:tcPr>
          <w:p w14:paraId="215CDF5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2,938,911,846.2</w:t>
            </w:r>
          </w:p>
        </w:tc>
        <w:tc>
          <w:tcPr>
            <w:tcW w:w="2061" w:type="dxa"/>
            <w:tcBorders>
              <w:top w:val="nil"/>
              <w:left w:val="nil"/>
              <w:bottom w:val="nil"/>
              <w:right w:val="nil"/>
            </w:tcBorders>
            <w:shd w:val="clear" w:color="000000" w:fill="F2F2F2"/>
            <w:vAlign w:val="center"/>
            <w:hideMark/>
          </w:tcPr>
          <w:p w14:paraId="02EFC12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1,442,955,781.8</w:t>
            </w:r>
          </w:p>
        </w:tc>
        <w:tc>
          <w:tcPr>
            <w:tcW w:w="1683" w:type="dxa"/>
            <w:tcBorders>
              <w:top w:val="nil"/>
              <w:left w:val="nil"/>
              <w:bottom w:val="nil"/>
              <w:right w:val="nil"/>
            </w:tcBorders>
            <w:shd w:val="clear" w:color="000000" w:fill="F2F2F2"/>
            <w:vAlign w:val="center"/>
            <w:hideMark/>
          </w:tcPr>
          <w:p w14:paraId="42D2AF4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6,212,253,227.2</w:t>
            </w:r>
          </w:p>
        </w:tc>
        <w:tc>
          <w:tcPr>
            <w:tcW w:w="1936" w:type="dxa"/>
            <w:tcBorders>
              <w:top w:val="nil"/>
              <w:left w:val="nil"/>
              <w:bottom w:val="nil"/>
              <w:right w:val="nil"/>
            </w:tcBorders>
            <w:shd w:val="clear" w:color="000000" w:fill="F2F2F2"/>
            <w:vAlign w:val="center"/>
            <w:hideMark/>
          </w:tcPr>
          <w:p w14:paraId="279AAE5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6,212,895,265.5</w:t>
            </w:r>
          </w:p>
        </w:tc>
      </w:tr>
      <w:tr w:rsidR="00882FA2" w:rsidRPr="008C673E" w14:paraId="28E3FCD7" w14:textId="77777777" w:rsidTr="000B4746">
        <w:trPr>
          <w:trHeight w:val="236"/>
        </w:trPr>
        <w:tc>
          <w:tcPr>
            <w:tcW w:w="3411" w:type="dxa"/>
            <w:tcBorders>
              <w:top w:val="nil"/>
              <w:left w:val="nil"/>
              <w:bottom w:val="nil"/>
              <w:right w:val="nil"/>
            </w:tcBorders>
            <w:shd w:val="clear" w:color="000000" w:fill="F2F2F2"/>
            <w:vAlign w:val="center"/>
            <w:hideMark/>
          </w:tcPr>
          <w:p w14:paraId="574DFDD1"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Subcuenta 2 (RJPS2)</w:t>
            </w:r>
            <w:r>
              <w:rPr>
                <w:rFonts w:ascii="Montserrat" w:eastAsia="Times New Roman" w:hAnsi="Montserrat" w:cs="Calibri"/>
                <w:color w:val="000000"/>
                <w:sz w:val="15"/>
                <w:szCs w:val="15"/>
                <w:lang w:eastAsia="es-MX"/>
              </w:rPr>
              <w:t xml:space="preserve"> </w:t>
            </w:r>
            <w:r w:rsidRPr="004F6B3A">
              <w:rPr>
                <w:rFonts w:ascii="Montserrat" w:eastAsia="Times New Roman" w:hAnsi="Montserrat" w:cs="Calibri"/>
                <w:b/>
                <w:bCs/>
                <w:color w:val="000000"/>
                <w:sz w:val="15"/>
                <w:szCs w:val="15"/>
                <w:lang w:eastAsia="es-MX"/>
              </w:rPr>
              <w:t>(1.7.a.2)</w:t>
            </w:r>
          </w:p>
        </w:tc>
        <w:tc>
          <w:tcPr>
            <w:tcW w:w="1444" w:type="dxa"/>
            <w:tcBorders>
              <w:top w:val="nil"/>
              <w:left w:val="nil"/>
              <w:bottom w:val="nil"/>
              <w:right w:val="nil"/>
            </w:tcBorders>
            <w:shd w:val="clear" w:color="000000" w:fill="F2F2F2"/>
            <w:vAlign w:val="center"/>
            <w:hideMark/>
          </w:tcPr>
          <w:p w14:paraId="660F112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2,292,961,618.6</w:t>
            </w:r>
          </w:p>
        </w:tc>
        <w:tc>
          <w:tcPr>
            <w:tcW w:w="2066" w:type="dxa"/>
            <w:gridSpan w:val="2"/>
            <w:tcBorders>
              <w:top w:val="nil"/>
              <w:left w:val="nil"/>
              <w:bottom w:val="nil"/>
              <w:right w:val="nil"/>
            </w:tcBorders>
            <w:shd w:val="clear" w:color="000000" w:fill="F2F2F2"/>
            <w:vAlign w:val="center"/>
            <w:hideMark/>
          </w:tcPr>
          <w:p w14:paraId="6B127B1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25,927,981.9</w:t>
            </w:r>
          </w:p>
        </w:tc>
        <w:tc>
          <w:tcPr>
            <w:tcW w:w="2061" w:type="dxa"/>
            <w:tcBorders>
              <w:top w:val="nil"/>
              <w:left w:val="nil"/>
              <w:bottom w:val="nil"/>
              <w:right w:val="nil"/>
            </w:tcBorders>
            <w:shd w:val="clear" w:color="000000" w:fill="F2F2F2"/>
            <w:vAlign w:val="center"/>
            <w:hideMark/>
          </w:tcPr>
          <w:p w14:paraId="3F08B40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108,901,109,756.9</w:t>
            </w:r>
          </w:p>
        </w:tc>
        <w:tc>
          <w:tcPr>
            <w:tcW w:w="1683" w:type="dxa"/>
            <w:tcBorders>
              <w:top w:val="nil"/>
              <w:left w:val="nil"/>
              <w:bottom w:val="nil"/>
              <w:right w:val="nil"/>
            </w:tcBorders>
            <w:shd w:val="clear" w:color="000000" w:fill="F2F2F2"/>
            <w:vAlign w:val="center"/>
            <w:hideMark/>
          </w:tcPr>
          <w:p w14:paraId="4BEEB9C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111,219,999,357.4</w:t>
            </w:r>
          </w:p>
        </w:tc>
        <w:tc>
          <w:tcPr>
            <w:tcW w:w="1936" w:type="dxa"/>
            <w:tcBorders>
              <w:top w:val="nil"/>
              <w:left w:val="nil"/>
              <w:bottom w:val="nil"/>
              <w:right w:val="nil"/>
            </w:tcBorders>
            <w:shd w:val="clear" w:color="000000" w:fill="F2F2F2"/>
            <w:vAlign w:val="center"/>
            <w:hideMark/>
          </w:tcPr>
          <w:p w14:paraId="20599CE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111,221,181,854.1</w:t>
            </w:r>
          </w:p>
        </w:tc>
      </w:tr>
      <w:tr w:rsidR="00882FA2" w:rsidRPr="008C673E" w14:paraId="5034C148" w14:textId="77777777" w:rsidTr="000B4746">
        <w:trPr>
          <w:trHeight w:val="300"/>
        </w:trPr>
        <w:tc>
          <w:tcPr>
            <w:tcW w:w="3411" w:type="dxa"/>
            <w:tcBorders>
              <w:top w:val="nil"/>
              <w:left w:val="nil"/>
              <w:bottom w:val="nil"/>
              <w:right w:val="nil"/>
            </w:tcBorders>
            <w:shd w:val="clear" w:color="000000" w:fill="F2F2F2"/>
            <w:vAlign w:val="center"/>
            <w:hideMark/>
          </w:tcPr>
          <w:p w14:paraId="4D67982D" w14:textId="77777777" w:rsidR="00882FA2" w:rsidRPr="008C673E" w:rsidRDefault="00882FA2" w:rsidP="00882FA2">
            <w:pPr>
              <w:spacing w:after="0" w:line="240" w:lineRule="auto"/>
              <w:jc w:val="both"/>
              <w:rPr>
                <w:rFonts w:ascii="Montserrat" w:eastAsia="Times New Roman" w:hAnsi="Montserrat" w:cs="Calibri"/>
                <w:b/>
                <w:bCs/>
                <w:color w:val="000000"/>
                <w:sz w:val="15"/>
                <w:szCs w:val="15"/>
                <w:lang w:val="es-MX" w:eastAsia="es-MX"/>
              </w:rPr>
            </w:pPr>
            <w:r w:rsidRPr="008C673E">
              <w:rPr>
                <w:rFonts w:ascii="Montserrat" w:eastAsia="Times New Roman" w:hAnsi="Montserrat" w:cs="Calibri"/>
                <w:b/>
                <w:bCs/>
                <w:color w:val="000000"/>
                <w:sz w:val="15"/>
                <w:szCs w:val="15"/>
                <w:lang w:eastAsia="es-MX"/>
              </w:rPr>
              <w:t xml:space="preserve">Subtotal </w:t>
            </w:r>
          </w:p>
        </w:tc>
        <w:tc>
          <w:tcPr>
            <w:tcW w:w="1444" w:type="dxa"/>
            <w:tcBorders>
              <w:top w:val="nil"/>
              <w:left w:val="nil"/>
              <w:bottom w:val="nil"/>
              <w:right w:val="nil"/>
            </w:tcBorders>
            <w:shd w:val="clear" w:color="000000" w:fill="F2F2F2"/>
            <w:vAlign w:val="center"/>
            <w:hideMark/>
          </w:tcPr>
          <w:p w14:paraId="1A45C88C"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29,891,730,711.9</w:t>
            </w:r>
          </w:p>
        </w:tc>
        <w:tc>
          <w:tcPr>
            <w:tcW w:w="2066" w:type="dxa"/>
            <w:gridSpan w:val="2"/>
            <w:tcBorders>
              <w:top w:val="nil"/>
              <w:left w:val="nil"/>
              <w:bottom w:val="nil"/>
              <w:right w:val="nil"/>
            </w:tcBorders>
            <w:shd w:val="clear" w:color="000000" w:fill="F2F2F2"/>
            <w:vAlign w:val="center"/>
            <w:hideMark/>
          </w:tcPr>
          <w:p w14:paraId="022B604E"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21,409,032,690.2</w:t>
            </w:r>
          </w:p>
        </w:tc>
        <w:tc>
          <w:tcPr>
            <w:tcW w:w="2061" w:type="dxa"/>
            <w:tcBorders>
              <w:top w:val="nil"/>
              <w:left w:val="nil"/>
              <w:bottom w:val="nil"/>
              <w:right w:val="nil"/>
            </w:tcBorders>
            <w:shd w:val="clear" w:color="000000" w:fill="F2F2F2"/>
            <w:vAlign w:val="center"/>
            <w:hideMark/>
          </w:tcPr>
          <w:p w14:paraId="551A41B6"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284,020,457,230.2</w:t>
            </w:r>
          </w:p>
        </w:tc>
        <w:tc>
          <w:tcPr>
            <w:tcW w:w="1683" w:type="dxa"/>
            <w:tcBorders>
              <w:top w:val="nil"/>
              <w:left w:val="nil"/>
              <w:bottom w:val="nil"/>
              <w:right w:val="nil"/>
            </w:tcBorders>
            <w:shd w:val="clear" w:color="000000" w:fill="F2F2F2"/>
            <w:vAlign w:val="center"/>
            <w:hideMark/>
          </w:tcPr>
          <w:p w14:paraId="6B57D7DB"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335,321,220,632.3</w:t>
            </w:r>
          </w:p>
        </w:tc>
        <w:tc>
          <w:tcPr>
            <w:tcW w:w="1936" w:type="dxa"/>
            <w:tcBorders>
              <w:top w:val="nil"/>
              <w:left w:val="nil"/>
              <w:bottom w:val="nil"/>
              <w:right w:val="nil"/>
            </w:tcBorders>
            <w:shd w:val="clear" w:color="000000" w:fill="F2F2F2"/>
            <w:vAlign w:val="center"/>
            <w:hideMark/>
          </w:tcPr>
          <w:p w14:paraId="2400DD41"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335,329,410,617.4</w:t>
            </w:r>
          </w:p>
        </w:tc>
      </w:tr>
      <w:tr w:rsidR="00882FA2" w:rsidRPr="008C673E" w14:paraId="141162EA" w14:textId="77777777" w:rsidTr="00AB2854">
        <w:trPr>
          <w:trHeight w:val="138"/>
        </w:trPr>
        <w:tc>
          <w:tcPr>
            <w:tcW w:w="3411" w:type="dxa"/>
            <w:tcBorders>
              <w:top w:val="nil"/>
              <w:left w:val="nil"/>
              <w:bottom w:val="nil"/>
              <w:right w:val="nil"/>
            </w:tcBorders>
            <w:shd w:val="clear" w:color="000000" w:fill="F2F2F2"/>
            <w:vAlign w:val="center"/>
            <w:hideMark/>
          </w:tcPr>
          <w:p w14:paraId="12E7C99D"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Reserva Operativa (RO)</w:t>
            </w:r>
          </w:p>
        </w:tc>
        <w:tc>
          <w:tcPr>
            <w:tcW w:w="1444" w:type="dxa"/>
            <w:tcBorders>
              <w:top w:val="nil"/>
              <w:left w:val="nil"/>
              <w:bottom w:val="nil"/>
              <w:right w:val="nil"/>
            </w:tcBorders>
            <w:shd w:val="clear" w:color="000000" w:fill="F2F2F2"/>
            <w:vAlign w:val="center"/>
            <w:hideMark/>
          </w:tcPr>
          <w:p w14:paraId="612E596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38,807,623,853.0</w:t>
            </w:r>
          </w:p>
        </w:tc>
        <w:tc>
          <w:tcPr>
            <w:tcW w:w="2066" w:type="dxa"/>
            <w:gridSpan w:val="2"/>
            <w:tcBorders>
              <w:top w:val="nil"/>
              <w:left w:val="nil"/>
              <w:bottom w:val="nil"/>
              <w:right w:val="nil"/>
            </w:tcBorders>
            <w:shd w:val="clear" w:color="000000" w:fill="F2F2F2"/>
            <w:vAlign w:val="center"/>
            <w:hideMark/>
          </w:tcPr>
          <w:p w14:paraId="4A29E98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w:t>
            </w:r>
          </w:p>
        </w:tc>
        <w:tc>
          <w:tcPr>
            <w:tcW w:w="2061" w:type="dxa"/>
            <w:tcBorders>
              <w:top w:val="nil"/>
              <w:left w:val="nil"/>
              <w:bottom w:val="nil"/>
              <w:right w:val="nil"/>
            </w:tcBorders>
            <w:shd w:val="clear" w:color="000000" w:fill="F2F2F2"/>
            <w:vAlign w:val="center"/>
            <w:hideMark/>
          </w:tcPr>
          <w:p w14:paraId="44F03FE6"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4FD03751"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38,807,623,853.0</w:t>
            </w:r>
          </w:p>
        </w:tc>
        <w:tc>
          <w:tcPr>
            <w:tcW w:w="1936" w:type="dxa"/>
            <w:tcBorders>
              <w:top w:val="nil"/>
              <w:left w:val="nil"/>
              <w:bottom w:val="nil"/>
              <w:right w:val="nil"/>
            </w:tcBorders>
            <w:shd w:val="clear" w:color="000000" w:fill="F2F2F2"/>
            <w:vAlign w:val="center"/>
            <w:hideMark/>
          </w:tcPr>
          <w:p w14:paraId="01E6F35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1EBA1C2F" w14:textId="77777777" w:rsidTr="000B4746">
        <w:trPr>
          <w:trHeight w:val="300"/>
        </w:trPr>
        <w:tc>
          <w:tcPr>
            <w:tcW w:w="3411" w:type="dxa"/>
            <w:tcBorders>
              <w:top w:val="nil"/>
              <w:left w:val="nil"/>
              <w:bottom w:val="nil"/>
              <w:right w:val="nil"/>
            </w:tcBorders>
            <w:shd w:val="clear" w:color="000000" w:fill="F2F2F2"/>
            <w:vAlign w:val="center"/>
            <w:hideMark/>
          </w:tcPr>
          <w:p w14:paraId="7A0C617B" w14:textId="77777777" w:rsidR="00882FA2" w:rsidRPr="008C673E" w:rsidRDefault="00882FA2" w:rsidP="00882FA2">
            <w:pPr>
              <w:spacing w:after="0" w:line="240" w:lineRule="auto"/>
              <w:jc w:val="both"/>
              <w:rPr>
                <w:rFonts w:ascii="Montserrat" w:eastAsia="Times New Roman" w:hAnsi="Montserrat" w:cs="Calibri"/>
                <w:b/>
                <w:bCs/>
                <w:color w:val="000000"/>
                <w:sz w:val="15"/>
                <w:szCs w:val="15"/>
                <w:lang w:val="es-MX" w:eastAsia="es-MX"/>
              </w:rPr>
            </w:pPr>
            <w:r w:rsidRPr="008C673E">
              <w:rPr>
                <w:rFonts w:ascii="Montserrat" w:eastAsia="Times New Roman" w:hAnsi="Montserrat" w:cs="Calibri"/>
                <w:b/>
                <w:bCs/>
                <w:color w:val="000000"/>
                <w:sz w:val="15"/>
                <w:szCs w:val="15"/>
                <w:lang w:eastAsia="es-MX"/>
              </w:rPr>
              <w:t>Total Reservas y Fondo Laboral</w:t>
            </w:r>
          </w:p>
        </w:tc>
        <w:tc>
          <w:tcPr>
            <w:tcW w:w="1444" w:type="dxa"/>
            <w:tcBorders>
              <w:top w:val="nil"/>
              <w:left w:val="nil"/>
              <w:bottom w:val="nil"/>
              <w:right w:val="nil"/>
            </w:tcBorders>
            <w:shd w:val="clear" w:color="000000" w:fill="F2F2F2"/>
            <w:vAlign w:val="center"/>
            <w:hideMark/>
          </w:tcPr>
          <w:p w14:paraId="48049E8C"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68,699,354,564.9</w:t>
            </w:r>
          </w:p>
        </w:tc>
        <w:tc>
          <w:tcPr>
            <w:tcW w:w="2066" w:type="dxa"/>
            <w:gridSpan w:val="2"/>
            <w:tcBorders>
              <w:top w:val="nil"/>
              <w:left w:val="nil"/>
              <w:bottom w:val="nil"/>
              <w:right w:val="nil"/>
            </w:tcBorders>
            <w:shd w:val="clear" w:color="000000" w:fill="F2F2F2"/>
            <w:vAlign w:val="center"/>
            <w:hideMark/>
          </w:tcPr>
          <w:p w14:paraId="74434C3B"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21,409,032,690.2</w:t>
            </w:r>
          </w:p>
        </w:tc>
        <w:tc>
          <w:tcPr>
            <w:tcW w:w="2061" w:type="dxa"/>
            <w:tcBorders>
              <w:top w:val="nil"/>
              <w:left w:val="nil"/>
              <w:bottom w:val="nil"/>
              <w:right w:val="nil"/>
            </w:tcBorders>
            <w:shd w:val="clear" w:color="000000" w:fill="F2F2F2"/>
            <w:vAlign w:val="center"/>
            <w:hideMark/>
          </w:tcPr>
          <w:p w14:paraId="54D05870"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284,020,457,230.2</w:t>
            </w:r>
          </w:p>
        </w:tc>
        <w:tc>
          <w:tcPr>
            <w:tcW w:w="1683" w:type="dxa"/>
            <w:tcBorders>
              <w:top w:val="nil"/>
              <w:left w:val="nil"/>
              <w:bottom w:val="nil"/>
              <w:right w:val="nil"/>
            </w:tcBorders>
            <w:shd w:val="clear" w:color="000000" w:fill="F2F2F2"/>
            <w:vAlign w:val="center"/>
            <w:hideMark/>
          </w:tcPr>
          <w:p w14:paraId="57DD94D5"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374,128,844,485.3</w:t>
            </w:r>
          </w:p>
        </w:tc>
        <w:tc>
          <w:tcPr>
            <w:tcW w:w="1936" w:type="dxa"/>
            <w:tcBorders>
              <w:top w:val="nil"/>
              <w:left w:val="nil"/>
              <w:bottom w:val="nil"/>
              <w:right w:val="nil"/>
            </w:tcBorders>
            <w:shd w:val="clear" w:color="000000" w:fill="F2F2F2"/>
            <w:vAlign w:val="center"/>
            <w:hideMark/>
          </w:tcPr>
          <w:p w14:paraId="6AA3888B"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335,329,410,617.4</w:t>
            </w:r>
          </w:p>
        </w:tc>
      </w:tr>
      <w:tr w:rsidR="00882FA2" w:rsidRPr="008C673E" w14:paraId="1BDF3C77" w14:textId="77777777" w:rsidTr="000B4746">
        <w:trPr>
          <w:trHeight w:val="390"/>
        </w:trPr>
        <w:tc>
          <w:tcPr>
            <w:tcW w:w="3411" w:type="dxa"/>
            <w:tcBorders>
              <w:top w:val="nil"/>
              <w:left w:val="nil"/>
              <w:bottom w:val="nil"/>
              <w:right w:val="nil"/>
            </w:tcBorders>
            <w:shd w:val="clear" w:color="000000" w:fill="F2F2F2"/>
            <w:vAlign w:val="center"/>
            <w:hideMark/>
          </w:tcPr>
          <w:p w14:paraId="64D7E8D3"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Reserva para hacer frente a reclamaciones de SAR</w:t>
            </w:r>
          </w:p>
        </w:tc>
        <w:tc>
          <w:tcPr>
            <w:tcW w:w="1444" w:type="dxa"/>
            <w:tcBorders>
              <w:top w:val="nil"/>
              <w:left w:val="nil"/>
              <w:bottom w:val="nil"/>
              <w:right w:val="nil"/>
            </w:tcBorders>
            <w:shd w:val="clear" w:color="000000" w:fill="F2F2F2"/>
            <w:vAlign w:val="center"/>
            <w:hideMark/>
          </w:tcPr>
          <w:p w14:paraId="4A0BD7D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7,077,100.0</w:t>
            </w:r>
          </w:p>
        </w:tc>
        <w:tc>
          <w:tcPr>
            <w:tcW w:w="2066" w:type="dxa"/>
            <w:gridSpan w:val="2"/>
            <w:tcBorders>
              <w:top w:val="nil"/>
              <w:left w:val="nil"/>
              <w:bottom w:val="nil"/>
              <w:right w:val="nil"/>
            </w:tcBorders>
            <w:shd w:val="clear" w:color="000000" w:fill="F2F2F2"/>
            <w:vAlign w:val="center"/>
            <w:hideMark/>
          </w:tcPr>
          <w:p w14:paraId="43654B1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1FFEC3B1"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0BA62D5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7,077,100.0</w:t>
            </w:r>
          </w:p>
        </w:tc>
        <w:tc>
          <w:tcPr>
            <w:tcW w:w="1936" w:type="dxa"/>
            <w:tcBorders>
              <w:top w:val="nil"/>
              <w:left w:val="nil"/>
              <w:bottom w:val="nil"/>
              <w:right w:val="nil"/>
            </w:tcBorders>
            <w:shd w:val="clear" w:color="000000" w:fill="F2F2F2"/>
            <w:vAlign w:val="center"/>
            <w:hideMark/>
          </w:tcPr>
          <w:p w14:paraId="0125A2B2"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5FB051D5" w14:textId="77777777" w:rsidTr="000B4746">
        <w:trPr>
          <w:trHeight w:val="390"/>
        </w:trPr>
        <w:tc>
          <w:tcPr>
            <w:tcW w:w="3411" w:type="dxa"/>
            <w:tcBorders>
              <w:top w:val="nil"/>
              <w:left w:val="nil"/>
              <w:bottom w:val="nil"/>
              <w:right w:val="nil"/>
            </w:tcBorders>
            <w:shd w:val="clear" w:color="000000" w:fill="F2F2F2"/>
            <w:vAlign w:val="center"/>
            <w:hideMark/>
          </w:tcPr>
          <w:p w14:paraId="5E1F64BE"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Reserva Artículo 302 de la Ley del Seguro Social 2021</w:t>
            </w:r>
          </w:p>
        </w:tc>
        <w:tc>
          <w:tcPr>
            <w:tcW w:w="1444" w:type="dxa"/>
            <w:tcBorders>
              <w:top w:val="nil"/>
              <w:left w:val="nil"/>
              <w:bottom w:val="nil"/>
              <w:right w:val="nil"/>
            </w:tcBorders>
            <w:shd w:val="clear" w:color="000000" w:fill="F2F2F2"/>
            <w:vAlign w:val="center"/>
            <w:hideMark/>
          </w:tcPr>
          <w:p w14:paraId="7568A54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188,610,374.0</w:t>
            </w:r>
          </w:p>
        </w:tc>
        <w:tc>
          <w:tcPr>
            <w:tcW w:w="2066" w:type="dxa"/>
            <w:gridSpan w:val="2"/>
            <w:tcBorders>
              <w:top w:val="nil"/>
              <w:left w:val="nil"/>
              <w:bottom w:val="nil"/>
              <w:right w:val="nil"/>
            </w:tcBorders>
            <w:shd w:val="clear" w:color="000000" w:fill="F2F2F2"/>
            <w:vAlign w:val="center"/>
            <w:hideMark/>
          </w:tcPr>
          <w:p w14:paraId="4A9870B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106,463,750.1</w:t>
            </w:r>
          </w:p>
        </w:tc>
        <w:tc>
          <w:tcPr>
            <w:tcW w:w="2061" w:type="dxa"/>
            <w:tcBorders>
              <w:top w:val="nil"/>
              <w:left w:val="nil"/>
              <w:bottom w:val="nil"/>
              <w:right w:val="nil"/>
            </w:tcBorders>
            <w:shd w:val="clear" w:color="000000" w:fill="F2F2F2"/>
            <w:vAlign w:val="center"/>
            <w:hideMark/>
          </w:tcPr>
          <w:p w14:paraId="552864F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118,737,443.1</w:t>
            </w:r>
          </w:p>
        </w:tc>
        <w:tc>
          <w:tcPr>
            <w:tcW w:w="1683" w:type="dxa"/>
            <w:tcBorders>
              <w:top w:val="nil"/>
              <w:left w:val="nil"/>
              <w:bottom w:val="nil"/>
              <w:right w:val="nil"/>
            </w:tcBorders>
            <w:shd w:val="clear" w:color="000000" w:fill="F2F2F2"/>
            <w:vAlign w:val="center"/>
            <w:hideMark/>
          </w:tcPr>
          <w:p w14:paraId="09B5F45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413,811,567.2</w:t>
            </w:r>
          </w:p>
        </w:tc>
        <w:tc>
          <w:tcPr>
            <w:tcW w:w="1936" w:type="dxa"/>
            <w:tcBorders>
              <w:top w:val="nil"/>
              <w:left w:val="nil"/>
              <w:bottom w:val="nil"/>
              <w:right w:val="nil"/>
            </w:tcBorders>
            <w:shd w:val="clear" w:color="000000" w:fill="F2F2F2"/>
            <w:vAlign w:val="center"/>
            <w:hideMark/>
          </w:tcPr>
          <w:p w14:paraId="246C095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79D4887F" w14:textId="77777777" w:rsidTr="00AB2854">
        <w:trPr>
          <w:trHeight w:val="171"/>
        </w:trPr>
        <w:tc>
          <w:tcPr>
            <w:tcW w:w="3411" w:type="dxa"/>
            <w:tcBorders>
              <w:top w:val="nil"/>
              <w:left w:val="nil"/>
              <w:bottom w:val="nil"/>
              <w:right w:val="nil"/>
            </w:tcBorders>
            <w:shd w:val="clear" w:color="000000" w:fill="F2F2F2"/>
            <w:vAlign w:val="center"/>
            <w:hideMark/>
          </w:tcPr>
          <w:p w14:paraId="0A404DCC"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Fondo de Fomento a la Educación (FOFOE)</w:t>
            </w:r>
          </w:p>
        </w:tc>
        <w:tc>
          <w:tcPr>
            <w:tcW w:w="1444" w:type="dxa"/>
            <w:tcBorders>
              <w:top w:val="nil"/>
              <w:left w:val="nil"/>
              <w:bottom w:val="nil"/>
              <w:right w:val="nil"/>
            </w:tcBorders>
            <w:shd w:val="clear" w:color="000000" w:fill="F2F2F2"/>
            <w:vAlign w:val="center"/>
            <w:hideMark/>
          </w:tcPr>
          <w:p w14:paraId="5FF5306C"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794,743,904.0</w:t>
            </w:r>
          </w:p>
        </w:tc>
        <w:tc>
          <w:tcPr>
            <w:tcW w:w="2066" w:type="dxa"/>
            <w:gridSpan w:val="2"/>
            <w:tcBorders>
              <w:top w:val="nil"/>
              <w:left w:val="nil"/>
              <w:bottom w:val="nil"/>
              <w:right w:val="nil"/>
            </w:tcBorders>
            <w:shd w:val="clear" w:color="000000" w:fill="F2F2F2"/>
            <w:vAlign w:val="center"/>
            <w:hideMark/>
          </w:tcPr>
          <w:p w14:paraId="5C4F8A9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7285414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7D276E3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794,743,904.0</w:t>
            </w:r>
          </w:p>
        </w:tc>
        <w:tc>
          <w:tcPr>
            <w:tcW w:w="1936" w:type="dxa"/>
            <w:tcBorders>
              <w:top w:val="nil"/>
              <w:left w:val="nil"/>
              <w:bottom w:val="nil"/>
              <w:right w:val="nil"/>
            </w:tcBorders>
            <w:shd w:val="clear" w:color="000000" w:fill="F2F2F2"/>
            <w:vAlign w:val="center"/>
            <w:hideMark/>
          </w:tcPr>
          <w:p w14:paraId="6CBBC07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1006F61F" w14:textId="77777777" w:rsidTr="000B4746">
        <w:trPr>
          <w:trHeight w:val="300"/>
        </w:trPr>
        <w:tc>
          <w:tcPr>
            <w:tcW w:w="3411" w:type="dxa"/>
            <w:tcBorders>
              <w:top w:val="nil"/>
              <w:left w:val="nil"/>
              <w:bottom w:val="nil"/>
              <w:right w:val="nil"/>
            </w:tcBorders>
            <w:shd w:val="clear" w:color="000000" w:fill="F2F2F2"/>
            <w:vAlign w:val="center"/>
            <w:hideMark/>
          </w:tcPr>
          <w:p w14:paraId="69857189"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Cláusulas 85-89 (C 85-89)</w:t>
            </w:r>
          </w:p>
        </w:tc>
        <w:tc>
          <w:tcPr>
            <w:tcW w:w="1444" w:type="dxa"/>
            <w:tcBorders>
              <w:top w:val="nil"/>
              <w:left w:val="nil"/>
              <w:bottom w:val="nil"/>
              <w:right w:val="nil"/>
            </w:tcBorders>
            <w:shd w:val="clear" w:color="000000" w:fill="F2F2F2"/>
            <w:vAlign w:val="center"/>
            <w:hideMark/>
          </w:tcPr>
          <w:p w14:paraId="3F61894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777,668,809.0</w:t>
            </w:r>
          </w:p>
        </w:tc>
        <w:tc>
          <w:tcPr>
            <w:tcW w:w="2066" w:type="dxa"/>
            <w:gridSpan w:val="2"/>
            <w:tcBorders>
              <w:top w:val="nil"/>
              <w:left w:val="nil"/>
              <w:bottom w:val="nil"/>
              <w:right w:val="nil"/>
            </w:tcBorders>
            <w:shd w:val="clear" w:color="000000" w:fill="F2F2F2"/>
            <w:vAlign w:val="center"/>
            <w:hideMark/>
          </w:tcPr>
          <w:p w14:paraId="1BDC7A4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744CD26E"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4231CCD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777,668,809.0</w:t>
            </w:r>
          </w:p>
        </w:tc>
        <w:tc>
          <w:tcPr>
            <w:tcW w:w="1936" w:type="dxa"/>
            <w:tcBorders>
              <w:top w:val="nil"/>
              <w:left w:val="nil"/>
              <w:bottom w:val="nil"/>
              <w:right w:val="nil"/>
            </w:tcBorders>
            <w:shd w:val="clear" w:color="000000" w:fill="F2F2F2"/>
            <w:vAlign w:val="center"/>
            <w:hideMark/>
          </w:tcPr>
          <w:p w14:paraId="0B8BDF6C"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02CD1D80" w14:textId="77777777" w:rsidTr="000B4746">
        <w:trPr>
          <w:trHeight w:val="390"/>
        </w:trPr>
        <w:tc>
          <w:tcPr>
            <w:tcW w:w="3411" w:type="dxa"/>
            <w:tcBorders>
              <w:top w:val="nil"/>
              <w:left w:val="nil"/>
              <w:bottom w:val="nil"/>
              <w:right w:val="nil"/>
            </w:tcBorders>
            <w:shd w:val="clear" w:color="000000" w:fill="F2F2F2"/>
            <w:vAlign w:val="center"/>
            <w:hideMark/>
          </w:tcPr>
          <w:p w14:paraId="761CCC77"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Aportaciones Federales para el Pago de Pensiones (AFPP)</w:t>
            </w:r>
          </w:p>
        </w:tc>
        <w:tc>
          <w:tcPr>
            <w:tcW w:w="1444" w:type="dxa"/>
            <w:tcBorders>
              <w:top w:val="nil"/>
              <w:left w:val="nil"/>
              <w:bottom w:val="nil"/>
              <w:right w:val="nil"/>
            </w:tcBorders>
            <w:shd w:val="clear" w:color="000000" w:fill="F2F2F2"/>
            <w:vAlign w:val="center"/>
            <w:hideMark/>
          </w:tcPr>
          <w:p w14:paraId="49DCDCD4"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35,573,846.0</w:t>
            </w:r>
          </w:p>
        </w:tc>
        <w:tc>
          <w:tcPr>
            <w:tcW w:w="2066" w:type="dxa"/>
            <w:gridSpan w:val="2"/>
            <w:tcBorders>
              <w:top w:val="nil"/>
              <w:left w:val="nil"/>
              <w:bottom w:val="nil"/>
              <w:right w:val="nil"/>
            </w:tcBorders>
            <w:shd w:val="clear" w:color="000000" w:fill="F2F2F2"/>
            <w:vAlign w:val="center"/>
            <w:hideMark/>
          </w:tcPr>
          <w:p w14:paraId="39108490"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49BA5018"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0B9F830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35,573,846.0</w:t>
            </w:r>
          </w:p>
        </w:tc>
        <w:tc>
          <w:tcPr>
            <w:tcW w:w="1936" w:type="dxa"/>
            <w:tcBorders>
              <w:top w:val="nil"/>
              <w:left w:val="nil"/>
              <w:bottom w:val="nil"/>
              <w:right w:val="nil"/>
            </w:tcBorders>
            <w:shd w:val="clear" w:color="000000" w:fill="F2F2F2"/>
            <w:vAlign w:val="center"/>
            <w:hideMark/>
          </w:tcPr>
          <w:p w14:paraId="0171B8D9"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01731798" w14:textId="77777777" w:rsidTr="000B4746">
        <w:trPr>
          <w:trHeight w:val="585"/>
        </w:trPr>
        <w:tc>
          <w:tcPr>
            <w:tcW w:w="3411" w:type="dxa"/>
            <w:tcBorders>
              <w:top w:val="nil"/>
              <w:left w:val="nil"/>
              <w:bottom w:val="nil"/>
              <w:right w:val="nil"/>
            </w:tcBorders>
            <w:shd w:val="clear" w:color="000000" w:fill="F2F2F2"/>
            <w:vAlign w:val="center"/>
            <w:hideMark/>
          </w:tcPr>
          <w:p w14:paraId="11F1619D"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Recursos del Convenio entre IMSS-Bienestar con el Instituto de Salud para el Bienestar (INSABI)</w:t>
            </w:r>
          </w:p>
        </w:tc>
        <w:tc>
          <w:tcPr>
            <w:tcW w:w="1444" w:type="dxa"/>
            <w:tcBorders>
              <w:top w:val="nil"/>
              <w:left w:val="nil"/>
              <w:bottom w:val="nil"/>
              <w:right w:val="nil"/>
            </w:tcBorders>
            <w:shd w:val="clear" w:color="000000" w:fill="F2F2F2"/>
            <w:vAlign w:val="center"/>
            <w:hideMark/>
          </w:tcPr>
          <w:p w14:paraId="743A8627"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980,337,035.6</w:t>
            </w:r>
          </w:p>
        </w:tc>
        <w:tc>
          <w:tcPr>
            <w:tcW w:w="2066" w:type="dxa"/>
            <w:gridSpan w:val="2"/>
            <w:tcBorders>
              <w:top w:val="nil"/>
              <w:left w:val="nil"/>
              <w:bottom w:val="nil"/>
              <w:right w:val="nil"/>
            </w:tcBorders>
            <w:shd w:val="clear" w:color="000000" w:fill="F2F2F2"/>
            <w:vAlign w:val="center"/>
            <w:hideMark/>
          </w:tcPr>
          <w:p w14:paraId="04398DF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2F087F2C"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74037C2B"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980,337,035.6</w:t>
            </w:r>
          </w:p>
        </w:tc>
        <w:tc>
          <w:tcPr>
            <w:tcW w:w="1936" w:type="dxa"/>
            <w:tcBorders>
              <w:top w:val="nil"/>
              <w:left w:val="nil"/>
              <w:bottom w:val="nil"/>
              <w:right w:val="nil"/>
            </w:tcBorders>
            <w:shd w:val="clear" w:color="000000" w:fill="F2F2F2"/>
            <w:vAlign w:val="center"/>
            <w:hideMark/>
          </w:tcPr>
          <w:p w14:paraId="44BF7ED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218F33E1" w14:textId="77777777" w:rsidTr="000B4746">
        <w:trPr>
          <w:trHeight w:val="390"/>
        </w:trPr>
        <w:tc>
          <w:tcPr>
            <w:tcW w:w="3411" w:type="dxa"/>
            <w:tcBorders>
              <w:top w:val="nil"/>
              <w:left w:val="nil"/>
              <w:bottom w:val="nil"/>
              <w:right w:val="nil"/>
            </w:tcBorders>
            <w:shd w:val="clear" w:color="000000" w:fill="F2F2F2"/>
            <w:vAlign w:val="center"/>
            <w:hideMark/>
          </w:tcPr>
          <w:p w14:paraId="375CC8E2" w14:textId="77777777" w:rsidR="00882FA2" w:rsidRPr="008C673E" w:rsidRDefault="00882FA2" w:rsidP="00882FA2">
            <w:pPr>
              <w:spacing w:after="0" w:line="240" w:lineRule="auto"/>
              <w:jc w:val="both"/>
              <w:rPr>
                <w:rFonts w:ascii="Montserrat" w:eastAsia="Times New Roman" w:hAnsi="Montserrat" w:cs="Calibri"/>
                <w:color w:val="000000"/>
                <w:sz w:val="15"/>
                <w:szCs w:val="15"/>
                <w:lang w:val="es-MX" w:eastAsia="es-MX"/>
              </w:rPr>
            </w:pPr>
            <w:r w:rsidRPr="008C673E">
              <w:rPr>
                <w:rFonts w:ascii="Montserrat" w:eastAsia="Times New Roman" w:hAnsi="Montserrat" w:cs="Calibri"/>
                <w:color w:val="000000"/>
                <w:sz w:val="15"/>
                <w:szCs w:val="15"/>
                <w:lang w:eastAsia="es-MX"/>
              </w:rPr>
              <w:t>Recursos para ampliar la cobertura de IMSS-Bienestar (BIENESTAR)</w:t>
            </w:r>
          </w:p>
        </w:tc>
        <w:tc>
          <w:tcPr>
            <w:tcW w:w="1444" w:type="dxa"/>
            <w:tcBorders>
              <w:top w:val="nil"/>
              <w:left w:val="nil"/>
              <w:bottom w:val="nil"/>
              <w:right w:val="nil"/>
            </w:tcBorders>
            <w:shd w:val="clear" w:color="000000" w:fill="F2F2F2"/>
            <w:vAlign w:val="center"/>
            <w:hideMark/>
          </w:tcPr>
          <w:p w14:paraId="7D935573"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2,538,296,019.0</w:t>
            </w:r>
          </w:p>
        </w:tc>
        <w:tc>
          <w:tcPr>
            <w:tcW w:w="2066" w:type="dxa"/>
            <w:gridSpan w:val="2"/>
            <w:tcBorders>
              <w:top w:val="nil"/>
              <w:left w:val="nil"/>
              <w:bottom w:val="nil"/>
              <w:right w:val="nil"/>
            </w:tcBorders>
            <w:shd w:val="clear" w:color="000000" w:fill="F2F2F2"/>
            <w:vAlign w:val="center"/>
            <w:hideMark/>
          </w:tcPr>
          <w:p w14:paraId="18420FCC"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2061" w:type="dxa"/>
            <w:tcBorders>
              <w:top w:val="nil"/>
              <w:left w:val="nil"/>
              <w:bottom w:val="nil"/>
              <w:right w:val="nil"/>
            </w:tcBorders>
            <w:shd w:val="clear" w:color="000000" w:fill="F2F2F2"/>
            <w:vAlign w:val="center"/>
            <w:hideMark/>
          </w:tcPr>
          <w:p w14:paraId="3964B1B1"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83" w:type="dxa"/>
            <w:tcBorders>
              <w:top w:val="nil"/>
              <w:left w:val="nil"/>
              <w:bottom w:val="nil"/>
              <w:right w:val="nil"/>
            </w:tcBorders>
            <w:shd w:val="clear" w:color="000000" w:fill="F2F2F2"/>
            <w:vAlign w:val="center"/>
            <w:hideMark/>
          </w:tcPr>
          <w:p w14:paraId="6701B00F"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2,538,296,019.0</w:t>
            </w:r>
          </w:p>
        </w:tc>
        <w:tc>
          <w:tcPr>
            <w:tcW w:w="1936" w:type="dxa"/>
            <w:tcBorders>
              <w:top w:val="nil"/>
              <w:left w:val="nil"/>
              <w:bottom w:val="nil"/>
              <w:right w:val="nil"/>
            </w:tcBorders>
            <w:shd w:val="clear" w:color="000000" w:fill="F2F2F2"/>
            <w:vAlign w:val="center"/>
            <w:hideMark/>
          </w:tcPr>
          <w:p w14:paraId="46CC2AB5" w14:textId="77777777" w:rsidR="00882FA2" w:rsidRPr="008C673E" w:rsidRDefault="00882FA2" w:rsidP="00882FA2">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r>
      <w:tr w:rsidR="00882FA2" w:rsidRPr="008C673E" w14:paraId="4211B5FF" w14:textId="77777777" w:rsidTr="000B4746">
        <w:trPr>
          <w:trHeight w:val="390"/>
        </w:trPr>
        <w:tc>
          <w:tcPr>
            <w:tcW w:w="3411" w:type="dxa"/>
            <w:tcBorders>
              <w:top w:val="nil"/>
              <w:left w:val="nil"/>
              <w:bottom w:val="nil"/>
              <w:right w:val="nil"/>
            </w:tcBorders>
            <w:shd w:val="clear" w:color="000000" w:fill="F2F2F2"/>
            <w:vAlign w:val="center"/>
            <w:hideMark/>
          </w:tcPr>
          <w:p w14:paraId="0DC5F537" w14:textId="77777777" w:rsidR="00882FA2" w:rsidRPr="008C673E" w:rsidRDefault="00882FA2" w:rsidP="00882FA2">
            <w:pPr>
              <w:spacing w:after="0" w:line="240" w:lineRule="auto"/>
              <w:jc w:val="both"/>
              <w:rPr>
                <w:rFonts w:ascii="Montserrat" w:eastAsia="Times New Roman" w:hAnsi="Montserrat" w:cs="Calibri"/>
                <w:b/>
                <w:bCs/>
                <w:color w:val="000000"/>
                <w:sz w:val="15"/>
                <w:szCs w:val="15"/>
                <w:lang w:val="es-MX" w:eastAsia="es-MX"/>
              </w:rPr>
            </w:pPr>
            <w:r w:rsidRPr="008C673E">
              <w:rPr>
                <w:rFonts w:ascii="Montserrat" w:eastAsia="Times New Roman" w:hAnsi="Montserrat" w:cs="Calibri"/>
                <w:b/>
                <w:bCs/>
                <w:color w:val="000000"/>
                <w:sz w:val="15"/>
                <w:szCs w:val="15"/>
                <w:lang w:eastAsia="es-MX"/>
              </w:rPr>
              <w:t>Total Recursos administrados a cuenta de Terceros</w:t>
            </w:r>
          </w:p>
        </w:tc>
        <w:tc>
          <w:tcPr>
            <w:tcW w:w="1444" w:type="dxa"/>
            <w:tcBorders>
              <w:top w:val="nil"/>
              <w:left w:val="nil"/>
              <w:bottom w:val="nil"/>
              <w:right w:val="nil"/>
            </w:tcBorders>
            <w:shd w:val="clear" w:color="000000" w:fill="F2F2F2"/>
            <w:vAlign w:val="center"/>
            <w:hideMark/>
          </w:tcPr>
          <w:p w14:paraId="7E5CF47A"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5,322,307,087.6</w:t>
            </w:r>
          </w:p>
        </w:tc>
        <w:tc>
          <w:tcPr>
            <w:tcW w:w="2066" w:type="dxa"/>
            <w:gridSpan w:val="2"/>
            <w:tcBorders>
              <w:top w:val="nil"/>
              <w:left w:val="nil"/>
              <w:bottom w:val="nil"/>
              <w:right w:val="nil"/>
            </w:tcBorders>
            <w:shd w:val="clear" w:color="000000" w:fill="F2F2F2"/>
            <w:vAlign w:val="center"/>
            <w:hideMark/>
          </w:tcPr>
          <w:p w14:paraId="4F1BE0AF"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106,463,750.1</w:t>
            </w:r>
          </w:p>
        </w:tc>
        <w:tc>
          <w:tcPr>
            <w:tcW w:w="2061" w:type="dxa"/>
            <w:tcBorders>
              <w:top w:val="nil"/>
              <w:left w:val="nil"/>
              <w:bottom w:val="nil"/>
              <w:right w:val="nil"/>
            </w:tcBorders>
            <w:shd w:val="clear" w:color="000000" w:fill="F2F2F2"/>
            <w:vAlign w:val="center"/>
            <w:hideMark/>
          </w:tcPr>
          <w:p w14:paraId="7B8776DB"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118,737,443.1</w:t>
            </w:r>
          </w:p>
        </w:tc>
        <w:tc>
          <w:tcPr>
            <w:tcW w:w="1683" w:type="dxa"/>
            <w:tcBorders>
              <w:top w:val="nil"/>
              <w:left w:val="nil"/>
              <w:bottom w:val="nil"/>
              <w:right w:val="nil"/>
            </w:tcBorders>
            <w:shd w:val="clear" w:color="000000" w:fill="F2F2F2"/>
            <w:vAlign w:val="center"/>
            <w:hideMark/>
          </w:tcPr>
          <w:p w14:paraId="16E7B53C"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5,547,508,280.8</w:t>
            </w:r>
          </w:p>
        </w:tc>
        <w:tc>
          <w:tcPr>
            <w:tcW w:w="1936" w:type="dxa"/>
            <w:tcBorders>
              <w:top w:val="nil"/>
              <w:left w:val="nil"/>
              <w:bottom w:val="nil"/>
              <w:right w:val="nil"/>
            </w:tcBorders>
            <w:shd w:val="clear" w:color="000000" w:fill="F2F2F2"/>
            <w:vAlign w:val="center"/>
            <w:hideMark/>
          </w:tcPr>
          <w:p w14:paraId="52207412"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color w:val="000000"/>
                <w:sz w:val="15"/>
                <w:szCs w:val="15"/>
              </w:rPr>
              <w:t>-</w:t>
            </w:r>
          </w:p>
        </w:tc>
      </w:tr>
      <w:tr w:rsidR="00882FA2" w:rsidRPr="008C673E" w14:paraId="71EC1D77" w14:textId="77777777" w:rsidTr="000B4746">
        <w:trPr>
          <w:trHeight w:val="315"/>
        </w:trPr>
        <w:tc>
          <w:tcPr>
            <w:tcW w:w="3411" w:type="dxa"/>
            <w:tcBorders>
              <w:top w:val="nil"/>
              <w:left w:val="nil"/>
              <w:bottom w:val="single" w:sz="12" w:space="0" w:color="808080"/>
              <w:right w:val="nil"/>
            </w:tcBorders>
            <w:shd w:val="clear" w:color="000000" w:fill="F2F2F2"/>
            <w:vAlign w:val="center"/>
            <w:hideMark/>
          </w:tcPr>
          <w:p w14:paraId="3C7FE136" w14:textId="77777777" w:rsidR="00882FA2" w:rsidRPr="008C673E" w:rsidRDefault="00882FA2" w:rsidP="00882FA2">
            <w:pPr>
              <w:spacing w:after="0" w:line="240" w:lineRule="auto"/>
              <w:jc w:val="both"/>
              <w:rPr>
                <w:rFonts w:ascii="Montserrat" w:eastAsia="Times New Roman" w:hAnsi="Montserrat" w:cs="Calibri"/>
                <w:b/>
                <w:bCs/>
                <w:color w:val="000000"/>
                <w:sz w:val="15"/>
                <w:szCs w:val="15"/>
                <w:lang w:val="es-MX" w:eastAsia="es-MX"/>
              </w:rPr>
            </w:pPr>
            <w:r w:rsidRPr="008C673E">
              <w:rPr>
                <w:rFonts w:ascii="Montserrat" w:eastAsia="Times New Roman" w:hAnsi="Montserrat" w:cs="Calibri"/>
                <w:b/>
                <w:bCs/>
                <w:color w:val="000000"/>
                <w:sz w:val="15"/>
                <w:szCs w:val="15"/>
                <w:lang w:eastAsia="es-MX"/>
              </w:rPr>
              <w:t>Total Inversiones Financieras</w:t>
            </w:r>
          </w:p>
        </w:tc>
        <w:tc>
          <w:tcPr>
            <w:tcW w:w="1444" w:type="dxa"/>
            <w:tcBorders>
              <w:top w:val="nil"/>
              <w:left w:val="nil"/>
              <w:bottom w:val="single" w:sz="12" w:space="0" w:color="808080"/>
              <w:right w:val="nil"/>
            </w:tcBorders>
            <w:shd w:val="clear" w:color="000000" w:fill="F2F2F2"/>
            <w:vAlign w:val="center"/>
            <w:hideMark/>
          </w:tcPr>
          <w:p w14:paraId="10EFABD6"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74,021,661,652.5</w:t>
            </w:r>
          </w:p>
        </w:tc>
        <w:tc>
          <w:tcPr>
            <w:tcW w:w="2066" w:type="dxa"/>
            <w:gridSpan w:val="2"/>
            <w:tcBorders>
              <w:top w:val="nil"/>
              <w:left w:val="nil"/>
              <w:bottom w:val="single" w:sz="12" w:space="0" w:color="808080"/>
              <w:right w:val="nil"/>
            </w:tcBorders>
            <w:shd w:val="clear" w:color="000000" w:fill="F2F2F2"/>
            <w:vAlign w:val="center"/>
            <w:hideMark/>
          </w:tcPr>
          <w:p w14:paraId="559FF4B3"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21,515,496,440.3</w:t>
            </w:r>
          </w:p>
        </w:tc>
        <w:tc>
          <w:tcPr>
            <w:tcW w:w="2061" w:type="dxa"/>
            <w:tcBorders>
              <w:top w:val="nil"/>
              <w:left w:val="nil"/>
              <w:bottom w:val="single" w:sz="12" w:space="0" w:color="808080"/>
              <w:right w:val="nil"/>
            </w:tcBorders>
            <w:shd w:val="clear" w:color="000000" w:fill="F2F2F2"/>
            <w:vAlign w:val="center"/>
            <w:hideMark/>
          </w:tcPr>
          <w:p w14:paraId="747B6D90"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284,139,194,673.3</w:t>
            </w:r>
          </w:p>
        </w:tc>
        <w:tc>
          <w:tcPr>
            <w:tcW w:w="1683" w:type="dxa"/>
            <w:tcBorders>
              <w:top w:val="nil"/>
              <w:left w:val="nil"/>
              <w:bottom w:val="single" w:sz="12" w:space="0" w:color="808080"/>
              <w:right w:val="nil"/>
            </w:tcBorders>
            <w:shd w:val="clear" w:color="000000" w:fill="F2F2F2"/>
            <w:vAlign w:val="center"/>
            <w:hideMark/>
          </w:tcPr>
          <w:p w14:paraId="3E2714CA"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379,676,352,766.1</w:t>
            </w:r>
          </w:p>
        </w:tc>
        <w:tc>
          <w:tcPr>
            <w:tcW w:w="1936" w:type="dxa"/>
            <w:tcBorders>
              <w:top w:val="nil"/>
              <w:left w:val="nil"/>
              <w:bottom w:val="single" w:sz="12" w:space="0" w:color="808080"/>
              <w:right w:val="nil"/>
            </w:tcBorders>
            <w:shd w:val="clear" w:color="000000" w:fill="F2F2F2"/>
            <w:vAlign w:val="center"/>
            <w:hideMark/>
          </w:tcPr>
          <w:p w14:paraId="7C555D60" w14:textId="77777777" w:rsidR="00882FA2" w:rsidRPr="008C673E" w:rsidRDefault="00882FA2" w:rsidP="00882FA2">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335,329,410,617.4</w:t>
            </w:r>
          </w:p>
        </w:tc>
      </w:tr>
    </w:tbl>
    <w:p w14:paraId="0A334629" w14:textId="77777777" w:rsidR="00415AAF" w:rsidRDefault="00415AAF" w:rsidP="00342F71">
      <w:pPr>
        <w:pStyle w:val="TEXTONORMAL"/>
        <w:rPr>
          <w:lang w:val="es-MX"/>
        </w:rPr>
      </w:pPr>
    </w:p>
    <w:p w14:paraId="6C1743F8" w14:textId="77777777" w:rsidR="00E365BF" w:rsidRPr="004F6B3A" w:rsidRDefault="00C13FBE" w:rsidP="00C13FBE">
      <w:pPr>
        <w:pStyle w:val="TEXTONORMAL"/>
        <w:rPr>
          <w:lang w:val="es-MX"/>
        </w:rPr>
      </w:pPr>
      <w:r w:rsidRPr="004F6B3A">
        <w:rPr>
          <w:rFonts w:eastAsia="Times New Roman"/>
          <w:b/>
          <w:color w:val="000000"/>
          <w:sz w:val="15"/>
          <w:szCs w:val="15"/>
          <w:lang w:eastAsia="es-MX"/>
        </w:rPr>
        <w:lastRenderedPageBreak/>
        <w:t>1.7.a.1</w:t>
      </w:r>
      <w:r w:rsidRPr="004F6B3A">
        <w:rPr>
          <w:rFonts w:eastAsia="Times New Roman"/>
          <w:color w:val="000000"/>
          <w:sz w:val="15"/>
          <w:szCs w:val="15"/>
          <w:lang w:eastAsia="es-MX"/>
        </w:rPr>
        <w:t xml:space="preserve"> </w:t>
      </w:r>
      <w:r w:rsidRPr="004F6B3A">
        <w:rPr>
          <w:lang w:val="es-MX"/>
        </w:rPr>
        <w:t>La variación entre los instrumentos financieros y la provisión, se debe al importe de los ingresos por COP de la industria de la construcción por los trabajadores innominados, los cuales quedan registrados contablemente como provisión en el mismo periodo, sin embargo la solicitud que hace la Coordinación de Tesorería a la Unidad de Inversiones Financieras para realizar el traspaso de las Reservas Operativas a la Reserva General Financiera y Actuarial se hace en el siguiente periodo contable.</w:t>
      </w:r>
    </w:p>
    <w:p w14:paraId="53978052" w14:textId="77777777" w:rsidR="00393450" w:rsidRDefault="00393450" w:rsidP="009D5C48">
      <w:pPr>
        <w:pStyle w:val="TEXTONORMAL"/>
        <w:rPr>
          <w:rFonts w:eastAsia="Times New Roman"/>
          <w:b/>
          <w:color w:val="000000"/>
          <w:sz w:val="15"/>
          <w:szCs w:val="15"/>
          <w:lang w:eastAsia="es-MX"/>
        </w:rPr>
      </w:pPr>
    </w:p>
    <w:p w14:paraId="7622B41C" w14:textId="77777777" w:rsidR="00A1435F" w:rsidRPr="00342F71" w:rsidRDefault="00C13FBE" w:rsidP="009D5C48">
      <w:pPr>
        <w:pStyle w:val="TEXTONORMAL"/>
        <w:rPr>
          <w:lang w:val="es-MX"/>
        </w:rPr>
      </w:pPr>
      <w:r w:rsidRPr="00342F71">
        <w:rPr>
          <w:rFonts w:eastAsia="Times New Roman"/>
          <w:b/>
          <w:color w:val="000000"/>
          <w:sz w:val="15"/>
          <w:szCs w:val="15"/>
          <w:lang w:eastAsia="es-MX"/>
        </w:rPr>
        <w:t xml:space="preserve">1.7.a.2 </w:t>
      </w:r>
      <w:r w:rsidRPr="00342F71">
        <w:rPr>
          <w:lang w:val="es-MX"/>
        </w:rPr>
        <w:t>La variación entre los instrumentos financieros y la provisión de las Subcuentas 1 y 2</w:t>
      </w:r>
      <w:r w:rsidR="004249BC" w:rsidRPr="00342F71">
        <w:rPr>
          <w:lang w:val="es-MX"/>
        </w:rPr>
        <w:t>,</w:t>
      </w:r>
      <w:r w:rsidRPr="00342F71">
        <w:rPr>
          <w:lang w:val="es-MX"/>
        </w:rPr>
        <w:t xml:space="preserve"> se genera debido a que el fondeo de las aportaciones de los empleados por estos conceptos se solicita una vez incluida la interfaz de la nómina de trabajadores activos de la segunda quincena del mes, sin </w:t>
      </w:r>
      <w:r w:rsidR="00342F71" w:rsidRPr="00342F71">
        <w:rPr>
          <w:lang w:val="es-MX"/>
        </w:rPr>
        <w:t>embargo,</w:t>
      </w:r>
      <w:r w:rsidRPr="00342F71">
        <w:rPr>
          <w:lang w:val="es-MX"/>
        </w:rPr>
        <w:t xml:space="preserve"> posteriormente se generan registros de salarios cancelados, órdenes de ingreso </w:t>
      </w:r>
      <w:r w:rsidR="004249BC" w:rsidRPr="00342F71">
        <w:rPr>
          <w:lang w:val="es-MX"/>
        </w:rPr>
        <w:t>y finiquitos</w:t>
      </w:r>
      <w:r w:rsidRPr="00342F71">
        <w:rPr>
          <w:lang w:val="es-MX"/>
        </w:rPr>
        <w:t>, cuyos importes son fondeados al siguiente mes.</w:t>
      </w:r>
    </w:p>
    <w:p w14:paraId="2C648CB6" w14:textId="77777777" w:rsidR="00CB79F2" w:rsidRPr="0039371B" w:rsidRDefault="00CB79F2" w:rsidP="009D5C48">
      <w:pPr>
        <w:pStyle w:val="TEXTONORMAL"/>
        <w:rPr>
          <w:highlight w:val="yellow"/>
          <w:lang w:val="es-MX"/>
        </w:rPr>
      </w:pPr>
    </w:p>
    <w:tbl>
      <w:tblPr>
        <w:tblW w:w="12490" w:type="dxa"/>
        <w:jc w:val="center"/>
        <w:tblCellMar>
          <w:left w:w="70" w:type="dxa"/>
          <w:right w:w="70" w:type="dxa"/>
        </w:tblCellMar>
        <w:tblLook w:val="04A0" w:firstRow="1" w:lastRow="0" w:firstColumn="1" w:lastColumn="0" w:noHBand="0" w:noVBand="1"/>
      </w:tblPr>
      <w:tblGrid>
        <w:gridCol w:w="3527"/>
        <w:gridCol w:w="1525"/>
        <w:gridCol w:w="1626"/>
        <w:gridCol w:w="1701"/>
        <w:gridCol w:w="1985"/>
        <w:gridCol w:w="2126"/>
      </w:tblGrid>
      <w:tr w:rsidR="00CC742F" w:rsidRPr="00DF6CAF" w14:paraId="6DD79519" w14:textId="77777777" w:rsidTr="00CC742F">
        <w:trPr>
          <w:trHeight w:val="339"/>
          <w:jc w:val="center"/>
        </w:trPr>
        <w:tc>
          <w:tcPr>
            <w:tcW w:w="352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876E362"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Concepto</w:t>
            </w:r>
          </w:p>
        </w:tc>
        <w:tc>
          <w:tcPr>
            <w:tcW w:w="8963" w:type="dxa"/>
            <w:gridSpan w:val="5"/>
            <w:tcBorders>
              <w:top w:val="single" w:sz="12" w:space="0" w:color="808080"/>
              <w:left w:val="nil"/>
              <w:bottom w:val="single" w:sz="12" w:space="0" w:color="FFFFFF"/>
              <w:right w:val="single" w:sz="12" w:space="0" w:color="FFFFFF"/>
            </w:tcBorders>
            <w:shd w:val="clear" w:color="000000" w:fill="D4C19C"/>
            <w:vAlign w:val="center"/>
            <w:hideMark/>
          </w:tcPr>
          <w:p w14:paraId="73FDE217"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Cifras en pesos</w:t>
            </w:r>
          </w:p>
        </w:tc>
      </w:tr>
      <w:tr w:rsidR="00CC742F" w:rsidRPr="00DF6CAF" w14:paraId="5554B345" w14:textId="77777777" w:rsidTr="00CC742F">
        <w:trPr>
          <w:trHeight w:val="156"/>
          <w:jc w:val="center"/>
        </w:trPr>
        <w:tc>
          <w:tcPr>
            <w:tcW w:w="3527" w:type="dxa"/>
            <w:vMerge/>
            <w:tcBorders>
              <w:top w:val="single" w:sz="12" w:space="0" w:color="808080"/>
              <w:left w:val="single" w:sz="12" w:space="0" w:color="FFFFFF"/>
              <w:bottom w:val="double" w:sz="6" w:space="0" w:color="808080"/>
              <w:right w:val="single" w:sz="12" w:space="0" w:color="FFFFFF"/>
            </w:tcBorders>
            <w:vAlign w:val="center"/>
            <w:hideMark/>
          </w:tcPr>
          <w:p w14:paraId="027FCCF5"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p>
        </w:tc>
        <w:tc>
          <w:tcPr>
            <w:tcW w:w="8963" w:type="dxa"/>
            <w:gridSpan w:val="5"/>
            <w:tcBorders>
              <w:top w:val="single" w:sz="12" w:space="0" w:color="FFFFFF"/>
              <w:left w:val="nil"/>
              <w:bottom w:val="double" w:sz="6" w:space="0" w:color="808080"/>
              <w:right w:val="single" w:sz="12" w:space="0" w:color="FFFFFF"/>
            </w:tcBorders>
            <w:shd w:val="clear" w:color="000000" w:fill="D4C19C"/>
            <w:vAlign w:val="center"/>
            <w:hideMark/>
          </w:tcPr>
          <w:p w14:paraId="7BE683A1"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eastAsia="es-MX"/>
              </w:rPr>
              <w:t xml:space="preserve">Diciembre </w:t>
            </w:r>
            <w:r w:rsidRPr="00A04107">
              <w:rPr>
                <w:rFonts w:ascii="Montserrat" w:eastAsia="Times New Roman" w:hAnsi="Montserrat"/>
                <w:b/>
                <w:bCs/>
                <w:color w:val="FFFFFF"/>
                <w:sz w:val="16"/>
                <w:szCs w:val="16"/>
                <w:lang w:eastAsia="es-MX"/>
              </w:rPr>
              <w:t>2021</w:t>
            </w:r>
          </w:p>
        </w:tc>
      </w:tr>
      <w:tr w:rsidR="00CC742F" w:rsidRPr="00DF6CAF" w14:paraId="7BB9833C" w14:textId="77777777" w:rsidTr="00CC742F">
        <w:trPr>
          <w:trHeight w:val="555"/>
          <w:jc w:val="center"/>
        </w:trPr>
        <w:tc>
          <w:tcPr>
            <w:tcW w:w="3527" w:type="dxa"/>
            <w:vMerge/>
            <w:tcBorders>
              <w:top w:val="single" w:sz="12" w:space="0" w:color="808080"/>
              <w:left w:val="single" w:sz="12" w:space="0" w:color="FFFFFF"/>
              <w:bottom w:val="double" w:sz="6" w:space="0" w:color="808080"/>
              <w:right w:val="single" w:sz="12" w:space="0" w:color="FFFFFF"/>
            </w:tcBorders>
            <w:vAlign w:val="center"/>
            <w:hideMark/>
          </w:tcPr>
          <w:p w14:paraId="2D6E51AF"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p>
        </w:tc>
        <w:tc>
          <w:tcPr>
            <w:tcW w:w="1525" w:type="dxa"/>
            <w:tcBorders>
              <w:top w:val="nil"/>
              <w:left w:val="nil"/>
              <w:bottom w:val="double" w:sz="6" w:space="0" w:color="808080"/>
              <w:right w:val="single" w:sz="12" w:space="0" w:color="FFFFFF"/>
            </w:tcBorders>
            <w:shd w:val="clear" w:color="000000" w:fill="D4C19C"/>
            <w:vAlign w:val="center"/>
            <w:hideMark/>
          </w:tcPr>
          <w:p w14:paraId="7C406476"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Temporales</w:t>
            </w:r>
          </w:p>
        </w:tc>
        <w:tc>
          <w:tcPr>
            <w:tcW w:w="1626" w:type="dxa"/>
            <w:tcBorders>
              <w:top w:val="nil"/>
              <w:left w:val="nil"/>
              <w:bottom w:val="double" w:sz="6" w:space="0" w:color="808080"/>
              <w:right w:val="single" w:sz="12" w:space="0" w:color="FFFFFF"/>
            </w:tcBorders>
            <w:shd w:val="clear" w:color="000000" w:fill="D4C19C"/>
            <w:vAlign w:val="center"/>
            <w:hideMark/>
          </w:tcPr>
          <w:p w14:paraId="4D5B046B"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Corto Plazo</w:t>
            </w:r>
          </w:p>
        </w:tc>
        <w:tc>
          <w:tcPr>
            <w:tcW w:w="1701" w:type="dxa"/>
            <w:tcBorders>
              <w:top w:val="nil"/>
              <w:left w:val="nil"/>
              <w:bottom w:val="double" w:sz="6" w:space="0" w:color="808080"/>
              <w:right w:val="single" w:sz="12" w:space="0" w:color="FFFFFF"/>
            </w:tcBorders>
            <w:shd w:val="clear" w:color="000000" w:fill="D4C19C"/>
            <w:vAlign w:val="center"/>
            <w:hideMark/>
          </w:tcPr>
          <w:p w14:paraId="37C558F5"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Largo Plazo</w:t>
            </w:r>
          </w:p>
        </w:tc>
        <w:tc>
          <w:tcPr>
            <w:tcW w:w="1985" w:type="dxa"/>
            <w:tcBorders>
              <w:top w:val="nil"/>
              <w:left w:val="nil"/>
              <w:bottom w:val="double" w:sz="6" w:space="0" w:color="808080"/>
              <w:right w:val="single" w:sz="12" w:space="0" w:color="FFFFFF"/>
            </w:tcBorders>
            <w:shd w:val="clear" w:color="000000" w:fill="D4C19C"/>
            <w:vAlign w:val="center"/>
            <w:hideMark/>
          </w:tcPr>
          <w:p w14:paraId="28F291E9"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Instrumentos Financieros</w:t>
            </w:r>
          </w:p>
        </w:tc>
        <w:tc>
          <w:tcPr>
            <w:tcW w:w="2126" w:type="dxa"/>
            <w:tcBorders>
              <w:top w:val="nil"/>
              <w:left w:val="nil"/>
              <w:bottom w:val="double" w:sz="6" w:space="0" w:color="808080"/>
              <w:right w:val="single" w:sz="12" w:space="0" w:color="FFFFFF"/>
            </w:tcBorders>
            <w:shd w:val="clear" w:color="000000" w:fill="D4C19C"/>
            <w:vAlign w:val="center"/>
            <w:hideMark/>
          </w:tcPr>
          <w:p w14:paraId="7CD4687D" w14:textId="77777777" w:rsidR="00CC742F" w:rsidRPr="00A04107" w:rsidRDefault="00CC742F" w:rsidP="006B29AE">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Provisiones</w:t>
            </w:r>
          </w:p>
        </w:tc>
      </w:tr>
      <w:tr w:rsidR="00CC742F" w:rsidRPr="00A1435F" w14:paraId="7A86CEE2" w14:textId="77777777" w:rsidTr="00CC742F">
        <w:trPr>
          <w:trHeight w:val="387"/>
          <w:jc w:val="center"/>
        </w:trPr>
        <w:tc>
          <w:tcPr>
            <w:tcW w:w="3527" w:type="dxa"/>
            <w:tcBorders>
              <w:top w:val="nil"/>
              <w:left w:val="nil"/>
              <w:bottom w:val="nil"/>
              <w:right w:val="nil"/>
            </w:tcBorders>
            <w:shd w:val="clear" w:color="000000" w:fill="F2F2F2"/>
            <w:vAlign w:val="center"/>
            <w:hideMark/>
          </w:tcPr>
          <w:p w14:paraId="16EC9082"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RFA Seguro de Enfermedad y Maternidad</w:t>
            </w:r>
          </w:p>
        </w:tc>
        <w:tc>
          <w:tcPr>
            <w:tcW w:w="1525" w:type="dxa"/>
            <w:tcBorders>
              <w:top w:val="nil"/>
              <w:left w:val="nil"/>
              <w:bottom w:val="nil"/>
              <w:right w:val="nil"/>
            </w:tcBorders>
            <w:shd w:val="clear" w:color="000000" w:fill="F2F2F2"/>
            <w:vAlign w:val="center"/>
            <w:hideMark/>
          </w:tcPr>
          <w:p w14:paraId="0C707A8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11,595,512,582.0</w:t>
            </w:r>
          </w:p>
        </w:tc>
        <w:tc>
          <w:tcPr>
            <w:tcW w:w="1626" w:type="dxa"/>
            <w:tcBorders>
              <w:top w:val="nil"/>
              <w:left w:val="nil"/>
              <w:bottom w:val="nil"/>
              <w:right w:val="nil"/>
            </w:tcBorders>
            <w:shd w:val="clear" w:color="000000" w:fill="F2F2F2"/>
            <w:vAlign w:val="center"/>
            <w:hideMark/>
          </w:tcPr>
          <w:p w14:paraId="5218984E"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14,667,299,787.9</w:t>
            </w:r>
          </w:p>
        </w:tc>
        <w:tc>
          <w:tcPr>
            <w:tcW w:w="1701" w:type="dxa"/>
            <w:tcBorders>
              <w:top w:val="nil"/>
              <w:left w:val="nil"/>
              <w:bottom w:val="nil"/>
              <w:right w:val="nil"/>
            </w:tcBorders>
            <w:shd w:val="clear" w:color="000000" w:fill="F2F2F2"/>
            <w:vAlign w:val="center"/>
            <w:hideMark/>
          </w:tcPr>
          <w:p w14:paraId="1497C254"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38,109,833,330.4</w:t>
            </w:r>
          </w:p>
        </w:tc>
        <w:tc>
          <w:tcPr>
            <w:tcW w:w="1985" w:type="dxa"/>
            <w:tcBorders>
              <w:top w:val="nil"/>
              <w:left w:val="nil"/>
              <w:bottom w:val="nil"/>
              <w:right w:val="nil"/>
            </w:tcBorders>
            <w:shd w:val="clear" w:color="000000" w:fill="F2F2F2"/>
            <w:vAlign w:val="center"/>
            <w:hideMark/>
          </w:tcPr>
          <w:p w14:paraId="1D06C9C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64,372,645,700.3</w:t>
            </w:r>
          </w:p>
        </w:tc>
        <w:tc>
          <w:tcPr>
            <w:tcW w:w="2126" w:type="dxa"/>
            <w:tcBorders>
              <w:top w:val="nil"/>
              <w:left w:val="nil"/>
              <w:bottom w:val="nil"/>
              <w:right w:val="nil"/>
            </w:tcBorders>
            <w:shd w:val="clear" w:color="000000" w:fill="F2F2F2"/>
            <w:vAlign w:val="center"/>
            <w:hideMark/>
          </w:tcPr>
          <w:p w14:paraId="28770EFD"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64,372,645,700.3</w:t>
            </w:r>
          </w:p>
        </w:tc>
      </w:tr>
      <w:tr w:rsidR="00CC742F" w:rsidRPr="00A1435F" w14:paraId="68B79B36" w14:textId="77777777" w:rsidTr="00CC742F">
        <w:trPr>
          <w:trHeight w:val="371"/>
          <w:jc w:val="center"/>
        </w:trPr>
        <w:tc>
          <w:tcPr>
            <w:tcW w:w="3527" w:type="dxa"/>
            <w:tcBorders>
              <w:top w:val="nil"/>
              <w:left w:val="nil"/>
              <w:bottom w:val="nil"/>
              <w:right w:val="nil"/>
            </w:tcBorders>
            <w:shd w:val="clear" w:color="000000" w:fill="F2F2F2"/>
            <w:vAlign w:val="center"/>
            <w:hideMark/>
          </w:tcPr>
          <w:p w14:paraId="20BB9F2D"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Reserva</w:t>
            </w:r>
            <w:r w:rsidR="005845F7">
              <w:rPr>
                <w:rFonts w:ascii="Montserrat" w:eastAsia="Times New Roman" w:hAnsi="Montserrat"/>
                <w:color w:val="000000"/>
                <w:sz w:val="15"/>
                <w:szCs w:val="15"/>
                <w:lang w:eastAsia="es-MX"/>
              </w:rPr>
              <w:t xml:space="preserve"> de Operación</w:t>
            </w:r>
            <w:r w:rsidRPr="009B0293">
              <w:rPr>
                <w:rFonts w:ascii="Montserrat" w:eastAsia="Times New Roman" w:hAnsi="Montserrat"/>
                <w:color w:val="000000"/>
                <w:sz w:val="15"/>
                <w:szCs w:val="15"/>
                <w:lang w:eastAsia="es-MX"/>
              </w:rPr>
              <w:t xml:space="preserve"> para Contingencia y Financiamiento (ROCF)</w:t>
            </w:r>
          </w:p>
        </w:tc>
        <w:tc>
          <w:tcPr>
            <w:tcW w:w="1525" w:type="dxa"/>
            <w:tcBorders>
              <w:top w:val="nil"/>
              <w:left w:val="nil"/>
              <w:bottom w:val="nil"/>
              <w:right w:val="nil"/>
            </w:tcBorders>
            <w:shd w:val="clear" w:color="000000" w:fill="F2F2F2"/>
            <w:vAlign w:val="center"/>
            <w:hideMark/>
          </w:tcPr>
          <w:p w14:paraId="58D64A8D"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63,500,850,847.7</w:t>
            </w:r>
          </w:p>
        </w:tc>
        <w:tc>
          <w:tcPr>
            <w:tcW w:w="1626" w:type="dxa"/>
            <w:tcBorders>
              <w:top w:val="nil"/>
              <w:left w:val="nil"/>
              <w:bottom w:val="nil"/>
              <w:right w:val="nil"/>
            </w:tcBorders>
            <w:shd w:val="clear" w:color="000000" w:fill="F2F2F2"/>
            <w:vAlign w:val="center"/>
            <w:hideMark/>
          </w:tcPr>
          <w:p w14:paraId="2FF6EED2"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2F34C1D6"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15FCF68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63,500,850,847.7</w:t>
            </w:r>
          </w:p>
        </w:tc>
        <w:tc>
          <w:tcPr>
            <w:tcW w:w="2126" w:type="dxa"/>
            <w:tcBorders>
              <w:top w:val="nil"/>
              <w:left w:val="nil"/>
              <w:bottom w:val="nil"/>
              <w:right w:val="nil"/>
            </w:tcBorders>
            <w:shd w:val="clear" w:color="000000" w:fill="F2F2F2"/>
            <w:vAlign w:val="center"/>
            <w:hideMark/>
          </w:tcPr>
          <w:p w14:paraId="248A4CF8"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70,000,850,847.7</w:t>
            </w:r>
          </w:p>
        </w:tc>
      </w:tr>
      <w:tr w:rsidR="00CC742F" w:rsidRPr="00A1435F" w14:paraId="644BCF0F" w14:textId="77777777" w:rsidTr="00CC742F">
        <w:trPr>
          <w:trHeight w:val="310"/>
          <w:jc w:val="center"/>
        </w:trPr>
        <w:tc>
          <w:tcPr>
            <w:tcW w:w="3527" w:type="dxa"/>
            <w:tcBorders>
              <w:top w:val="nil"/>
              <w:left w:val="nil"/>
              <w:bottom w:val="nil"/>
              <w:right w:val="nil"/>
            </w:tcBorders>
            <w:shd w:val="clear" w:color="000000" w:fill="F2F2F2"/>
            <w:vAlign w:val="center"/>
            <w:hideMark/>
          </w:tcPr>
          <w:p w14:paraId="66CA4DA4"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RFA Invalidez y Vida</w:t>
            </w:r>
          </w:p>
        </w:tc>
        <w:tc>
          <w:tcPr>
            <w:tcW w:w="1525" w:type="dxa"/>
            <w:tcBorders>
              <w:top w:val="nil"/>
              <w:left w:val="nil"/>
              <w:bottom w:val="nil"/>
              <w:right w:val="nil"/>
            </w:tcBorders>
            <w:shd w:val="clear" w:color="000000" w:fill="F2F2F2"/>
            <w:vAlign w:val="center"/>
            <w:hideMark/>
          </w:tcPr>
          <w:p w14:paraId="7A118369"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49,078,903.7</w:t>
            </w:r>
          </w:p>
        </w:tc>
        <w:tc>
          <w:tcPr>
            <w:tcW w:w="1626" w:type="dxa"/>
            <w:tcBorders>
              <w:top w:val="nil"/>
              <w:left w:val="nil"/>
              <w:bottom w:val="nil"/>
              <w:right w:val="nil"/>
            </w:tcBorders>
            <w:shd w:val="clear" w:color="000000" w:fill="F2F2F2"/>
            <w:vAlign w:val="center"/>
            <w:hideMark/>
          </w:tcPr>
          <w:p w14:paraId="0CEB567F"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1,046,376,695.9</w:t>
            </w:r>
          </w:p>
        </w:tc>
        <w:tc>
          <w:tcPr>
            <w:tcW w:w="1701" w:type="dxa"/>
            <w:tcBorders>
              <w:top w:val="nil"/>
              <w:left w:val="nil"/>
              <w:bottom w:val="nil"/>
              <w:right w:val="nil"/>
            </w:tcBorders>
            <w:shd w:val="clear" w:color="000000" w:fill="F2F2F2"/>
            <w:vAlign w:val="center"/>
            <w:hideMark/>
          </w:tcPr>
          <w:p w14:paraId="3B6209A6"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17,248,550,225.1</w:t>
            </w:r>
          </w:p>
        </w:tc>
        <w:tc>
          <w:tcPr>
            <w:tcW w:w="1985" w:type="dxa"/>
            <w:tcBorders>
              <w:top w:val="nil"/>
              <w:left w:val="nil"/>
              <w:bottom w:val="nil"/>
              <w:right w:val="nil"/>
            </w:tcBorders>
            <w:shd w:val="clear" w:color="000000" w:fill="F2F2F2"/>
            <w:vAlign w:val="center"/>
            <w:hideMark/>
          </w:tcPr>
          <w:p w14:paraId="3B18F208"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18,344,005,824.7</w:t>
            </w:r>
          </w:p>
        </w:tc>
        <w:tc>
          <w:tcPr>
            <w:tcW w:w="2126" w:type="dxa"/>
            <w:tcBorders>
              <w:top w:val="nil"/>
              <w:left w:val="nil"/>
              <w:bottom w:val="nil"/>
              <w:right w:val="nil"/>
            </w:tcBorders>
            <w:shd w:val="clear" w:color="000000" w:fill="F2F2F2"/>
            <w:vAlign w:val="center"/>
            <w:hideMark/>
          </w:tcPr>
          <w:p w14:paraId="4709F6BF"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18,344,005,824.7</w:t>
            </w:r>
          </w:p>
        </w:tc>
      </w:tr>
      <w:tr w:rsidR="00CC742F" w:rsidRPr="00A1435F" w14:paraId="6CE71A8B" w14:textId="77777777" w:rsidTr="00CC742F">
        <w:trPr>
          <w:trHeight w:val="371"/>
          <w:jc w:val="center"/>
        </w:trPr>
        <w:tc>
          <w:tcPr>
            <w:tcW w:w="3527" w:type="dxa"/>
            <w:tcBorders>
              <w:top w:val="nil"/>
              <w:left w:val="nil"/>
              <w:bottom w:val="nil"/>
              <w:right w:val="nil"/>
            </w:tcBorders>
            <w:shd w:val="clear" w:color="000000" w:fill="F2F2F2"/>
            <w:vAlign w:val="center"/>
            <w:hideMark/>
          </w:tcPr>
          <w:p w14:paraId="4B534BD7"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RFA Gastos Médicos de Pensionados</w:t>
            </w:r>
          </w:p>
        </w:tc>
        <w:tc>
          <w:tcPr>
            <w:tcW w:w="1525" w:type="dxa"/>
            <w:tcBorders>
              <w:top w:val="nil"/>
              <w:left w:val="nil"/>
              <w:bottom w:val="nil"/>
              <w:right w:val="nil"/>
            </w:tcBorders>
            <w:shd w:val="clear" w:color="000000" w:fill="F2F2F2"/>
            <w:vAlign w:val="center"/>
            <w:hideMark/>
          </w:tcPr>
          <w:p w14:paraId="55914554"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15,534,431,317.5</w:t>
            </w:r>
          </w:p>
        </w:tc>
        <w:tc>
          <w:tcPr>
            <w:tcW w:w="1626" w:type="dxa"/>
            <w:tcBorders>
              <w:top w:val="nil"/>
              <w:left w:val="nil"/>
              <w:bottom w:val="nil"/>
              <w:right w:val="nil"/>
            </w:tcBorders>
            <w:shd w:val="clear" w:color="000000" w:fill="F2F2F2"/>
            <w:vAlign w:val="center"/>
            <w:hideMark/>
          </w:tcPr>
          <w:p w14:paraId="411D99A2"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2,814,845,942.7</w:t>
            </w:r>
          </w:p>
        </w:tc>
        <w:tc>
          <w:tcPr>
            <w:tcW w:w="1701" w:type="dxa"/>
            <w:tcBorders>
              <w:top w:val="nil"/>
              <w:left w:val="nil"/>
              <w:bottom w:val="nil"/>
              <w:right w:val="nil"/>
            </w:tcBorders>
            <w:shd w:val="clear" w:color="000000" w:fill="F2F2F2"/>
            <w:vAlign w:val="center"/>
            <w:hideMark/>
          </w:tcPr>
          <w:p w14:paraId="279BA7D5"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18,428,393,570.2</w:t>
            </w:r>
          </w:p>
        </w:tc>
        <w:tc>
          <w:tcPr>
            <w:tcW w:w="1985" w:type="dxa"/>
            <w:tcBorders>
              <w:top w:val="nil"/>
              <w:left w:val="nil"/>
              <w:bottom w:val="nil"/>
              <w:right w:val="nil"/>
            </w:tcBorders>
            <w:shd w:val="clear" w:color="000000" w:fill="F2F2F2"/>
            <w:vAlign w:val="center"/>
            <w:hideMark/>
          </w:tcPr>
          <w:p w14:paraId="198250E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36,777,670,830.4</w:t>
            </w:r>
          </w:p>
        </w:tc>
        <w:tc>
          <w:tcPr>
            <w:tcW w:w="2126" w:type="dxa"/>
            <w:tcBorders>
              <w:top w:val="nil"/>
              <w:left w:val="nil"/>
              <w:bottom w:val="nil"/>
              <w:right w:val="nil"/>
            </w:tcBorders>
            <w:shd w:val="clear" w:color="000000" w:fill="F2F2F2"/>
            <w:vAlign w:val="center"/>
            <w:hideMark/>
          </w:tcPr>
          <w:p w14:paraId="37665C1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36,777,670,830.4</w:t>
            </w:r>
          </w:p>
        </w:tc>
      </w:tr>
      <w:tr w:rsidR="00CC742F" w:rsidRPr="00A1435F" w14:paraId="17B3EE6D" w14:textId="77777777" w:rsidTr="00CC742F">
        <w:trPr>
          <w:trHeight w:val="310"/>
          <w:jc w:val="center"/>
        </w:trPr>
        <w:tc>
          <w:tcPr>
            <w:tcW w:w="3527" w:type="dxa"/>
            <w:tcBorders>
              <w:top w:val="nil"/>
              <w:left w:val="nil"/>
              <w:bottom w:val="nil"/>
              <w:right w:val="nil"/>
            </w:tcBorders>
            <w:shd w:val="clear" w:color="000000" w:fill="F2F2F2"/>
            <w:vAlign w:val="center"/>
            <w:hideMark/>
          </w:tcPr>
          <w:p w14:paraId="78F237EF"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RFA Riesgo de Trabajo</w:t>
            </w:r>
          </w:p>
        </w:tc>
        <w:tc>
          <w:tcPr>
            <w:tcW w:w="1525" w:type="dxa"/>
            <w:tcBorders>
              <w:top w:val="nil"/>
              <w:left w:val="nil"/>
              <w:bottom w:val="nil"/>
              <w:right w:val="nil"/>
            </w:tcBorders>
            <w:shd w:val="clear" w:color="000000" w:fill="F2F2F2"/>
            <w:vAlign w:val="center"/>
            <w:hideMark/>
          </w:tcPr>
          <w:p w14:paraId="7F58CC5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18,809,239.7</w:t>
            </w:r>
          </w:p>
        </w:tc>
        <w:tc>
          <w:tcPr>
            <w:tcW w:w="1626" w:type="dxa"/>
            <w:tcBorders>
              <w:top w:val="nil"/>
              <w:left w:val="nil"/>
              <w:bottom w:val="nil"/>
              <w:right w:val="nil"/>
            </w:tcBorders>
            <w:shd w:val="clear" w:color="000000" w:fill="F2F2F2"/>
            <w:vAlign w:val="center"/>
            <w:hideMark/>
          </w:tcPr>
          <w:p w14:paraId="0CA379C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347,289,334.6</w:t>
            </w:r>
          </w:p>
        </w:tc>
        <w:tc>
          <w:tcPr>
            <w:tcW w:w="1701" w:type="dxa"/>
            <w:tcBorders>
              <w:top w:val="nil"/>
              <w:left w:val="nil"/>
              <w:bottom w:val="nil"/>
              <w:right w:val="nil"/>
            </w:tcBorders>
            <w:shd w:val="clear" w:color="000000" w:fill="F2F2F2"/>
            <w:vAlign w:val="center"/>
            <w:hideMark/>
          </w:tcPr>
          <w:p w14:paraId="768370E0"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13,522,430,103.6</w:t>
            </w:r>
          </w:p>
        </w:tc>
        <w:tc>
          <w:tcPr>
            <w:tcW w:w="1985" w:type="dxa"/>
            <w:tcBorders>
              <w:top w:val="nil"/>
              <w:left w:val="nil"/>
              <w:bottom w:val="nil"/>
              <w:right w:val="nil"/>
            </w:tcBorders>
            <w:shd w:val="clear" w:color="000000" w:fill="F2F2F2"/>
            <w:vAlign w:val="center"/>
            <w:hideMark/>
          </w:tcPr>
          <w:p w14:paraId="2B8E3A50"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13,888,528,677.9</w:t>
            </w:r>
          </w:p>
        </w:tc>
        <w:tc>
          <w:tcPr>
            <w:tcW w:w="2126" w:type="dxa"/>
            <w:tcBorders>
              <w:top w:val="nil"/>
              <w:left w:val="nil"/>
              <w:bottom w:val="nil"/>
              <w:right w:val="nil"/>
            </w:tcBorders>
            <w:shd w:val="clear" w:color="000000" w:fill="F2F2F2"/>
            <w:vAlign w:val="center"/>
            <w:hideMark/>
          </w:tcPr>
          <w:p w14:paraId="0A5FC92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13,888,528,677.9</w:t>
            </w:r>
          </w:p>
        </w:tc>
      </w:tr>
      <w:tr w:rsidR="00CC742F" w:rsidRPr="00A1435F" w14:paraId="54E13F13" w14:textId="77777777" w:rsidTr="00CC742F">
        <w:trPr>
          <w:trHeight w:val="371"/>
          <w:jc w:val="center"/>
        </w:trPr>
        <w:tc>
          <w:tcPr>
            <w:tcW w:w="3527" w:type="dxa"/>
            <w:tcBorders>
              <w:top w:val="nil"/>
              <w:left w:val="nil"/>
              <w:bottom w:val="nil"/>
              <w:right w:val="nil"/>
            </w:tcBorders>
            <w:shd w:val="clear" w:color="000000" w:fill="F2F2F2"/>
            <w:vAlign w:val="center"/>
            <w:hideMark/>
          </w:tcPr>
          <w:p w14:paraId="6CCE939A"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Reserva General Financiera y Actuarial (RGFA)</w:t>
            </w:r>
          </w:p>
        </w:tc>
        <w:tc>
          <w:tcPr>
            <w:tcW w:w="1525" w:type="dxa"/>
            <w:tcBorders>
              <w:top w:val="nil"/>
              <w:left w:val="nil"/>
              <w:bottom w:val="nil"/>
              <w:right w:val="nil"/>
            </w:tcBorders>
            <w:shd w:val="clear" w:color="000000" w:fill="F2F2F2"/>
            <w:vAlign w:val="center"/>
            <w:hideMark/>
          </w:tcPr>
          <w:p w14:paraId="4C016A2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6,836,014,058.9</w:t>
            </w:r>
          </w:p>
        </w:tc>
        <w:tc>
          <w:tcPr>
            <w:tcW w:w="1626" w:type="dxa"/>
            <w:tcBorders>
              <w:top w:val="nil"/>
              <w:left w:val="nil"/>
              <w:bottom w:val="nil"/>
              <w:right w:val="nil"/>
            </w:tcBorders>
            <w:shd w:val="clear" w:color="000000" w:fill="F2F2F2"/>
            <w:vAlign w:val="center"/>
            <w:hideMark/>
          </w:tcPr>
          <w:p w14:paraId="6D51AFD5"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1,172,129,167.5</w:t>
            </w:r>
          </w:p>
        </w:tc>
        <w:tc>
          <w:tcPr>
            <w:tcW w:w="1701" w:type="dxa"/>
            <w:tcBorders>
              <w:top w:val="nil"/>
              <w:left w:val="nil"/>
              <w:bottom w:val="nil"/>
              <w:right w:val="nil"/>
            </w:tcBorders>
            <w:shd w:val="clear" w:color="000000" w:fill="F2F2F2"/>
            <w:vAlign w:val="center"/>
            <w:hideMark/>
          </w:tcPr>
          <w:p w14:paraId="71D3668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5611357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8,008,143,226.4</w:t>
            </w:r>
          </w:p>
        </w:tc>
        <w:tc>
          <w:tcPr>
            <w:tcW w:w="2126" w:type="dxa"/>
            <w:tcBorders>
              <w:top w:val="nil"/>
              <w:left w:val="nil"/>
              <w:bottom w:val="nil"/>
              <w:right w:val="nil"/>
            </w:tcBorders>
            <w:shd w:val="clear" w:color="000000" w:fill="F2F2F2"/>
            <w:vAlign w:val="center"/>
            <w:hideMark/>
          </w:tcPr>
          <w:p w14:paraId="6D3CE9C6"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8,015,053,191.0</w:t>
            </w:r>
          </w:p>
        </w:tc>
      </w:tr>
      <w:tr w:rsidR="00CC742F" w:rsidRPr="00A1435F" w14:paraId="27DD090A" w14:textId="77777777" w:rsidTr="00CC742F">
        <w:trPr>
          <w:trHeight w:val="310"/>
          <w:jc w:val="center"/>
        </w:trPr>
        <w:tc>
          <w:tcPr>
            <w:tcW w:w="3527" w:type="dxa"/>
            <w:tcBorders>
              <w:top w:val="nil"/>
              <w:left w:val="nil"/>
              <w:bottom w:val="nil"/>
              <w:right w:val="nil"/>
            </w:tcBorders>
            <w:shd w:val="clear" w:color="000000" w:fill="F2F2F2"/>
            <w:vAlign w:val="center"/>
            <w:hideMark/>
          </w:tcPr>
          <w:p w14:paraId="603D9657" w14:textId="77777777" w:rsidR="00CC742F" w:rsidRPr="009B0293" w:rsidRDefault="00CC742F" w:rsidP="006B29AE">
            <w:pPr>
              <w:spacing w:after="0" w:line="240" w:lineRule="exact"/>
              <w:rPr>
                <w:rFonts w:ascii="Montserrat" w:eastAsia="Times New Roman" w:hAnsi="Montserrat"/>
                <w:b/>
                <w:bCs/>
                <w:color w:val="000000"/>
                <w:sz w:val="15"/>
                <w:szCs w:val="15"/>
                <w:lang w:val="es-MX" w:eastAsia="es-MX"/>
              </w:rPr>
            </w:pPr>
            <w:r w:rsidRPr="009B0293">
              <w:rPr>
                <w:rFonts w:ascii="Montserrat" w:eastAsia="Times New Roman" w:hAnsi="Montserrat"/>
                <w:b/>
                <w:bCs/>
                <w:color w:val="000000"/>
                <w:sz w:val="15"/>
                <w:szCs w:val="15"/>
                <w:lang w:eastAsia="es-MX"/>
              </w:rPr>
              <w:t>Subtotal Reservas</w:t>
            </w:r>
          </w:p>
        </w:tc>
        <w:tc>
          <w:tcPr>
            <w:tcW w:w="1525" w:type="dxa"/>
            <w:tcBorders>
              <w:top w:val="nil"/>
              <w:left w:val="nil"/>
              <w:bottom w:val="nil"/>
              <w:right w:val="nil"/>
            </w:tcBorders>
            <w:shd w:val="clear" w:color="000000" w:fill="F2F2F2"/>
            <w:vAlign w:val="center"/>
            <w:hideMark/>
          </w:tcPr>
          <w:p w14:paraId="35BD6AA9"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97,534,696,949.5</w:t>
            </w:r>
          </w:p>
        </w:tc>
        <w:tc>
          <w:tcPr>
            <w:tcW w:w="1626" w:type="dxa"/>
            <w:tcBorders>
              <w:top w:val="nil"/>
              <w:left w:val="nil"/>
              <w:bottom w:val="nil"/>
              <w:right w:val="nil"/>
            </w:tcBorders>
            <w:shd w:val="clear" w:color="000000" w:fill="F2F2F2"/>
            <w:vAlign w:val="center"/>
            <w:hideMark/>
          </w:tcPr>
          <w:p w14:paraId="3EB1B42E"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20,047,940,928.6</w:t>
            </w:r>
          </w:p>
        </w:tc>
        <w:tc>
          <w:tcPr>
            <w:tcW w:w="1701" w:type="dxa"/>
            <w:tcBorders>
              <w:top w:val="nil"/>
              <w:left w:val="nil"/>
              <w:bottom w:val="nil"/>
              <w:right w:val="nil"/>
            </w:tcBorders>
            <w:shd w:val="clear" w:color="000000" w:fill="F2F2F2"/>
            <w:vAlign w:val="center"/>
            <w:hideMark/>
          </w:tcPr>
          <w:p w14:paraId="425A19EF"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87,309,207,229.3</w:t>
            </w:r>
          </w:p>
        </w:tc>
        <w:tc>
          <w:tcPr>
            <w:tcW w:w="1985" w:type="dxa"/>
            <w:tcBorders>
              <w:top w:val="nil"/>
              <w:left w:val="nil"/>
              <w:bottom w:val="nil"/>
              <w:right w:val="nil"/>
            </w:tcBorders>
            <w:shd w:val="clear" w:color="000000" w:fill="F2F2F2"/>
            <w:vAlign w:val="center"/>
            <w:hideMark/>
          </w:tcPr>
          <w:p w14:paraId="15A1BBC5"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204,891,845,107.4</w:t>
            </w:r>
          </w:p>
        </w:tc>
        <w:tc>
          <w:tcPr>
            <w:tcW w:w="2126" w:type="dxa"/>
            <w:tcBorders>
              <w:top w:val="nil"/>
              <w:left w:val="nil"/>
              <w:bottom w:val="nil"/>
              <w:right w:val="nil"/>
            </w:tcBorders>
            <w:shd w:val="clear" w:color="000000" w:fill="F2F2F2"/>
            <w:vAlign w:val="center"/>
            <w:hideMark/>
          </w:tcPr>
          <w:p w14:paraId="78AD3527"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211,398,755,072.0</w:t>
            </w:r>
          </w:p>
        </w:tc>
      </w:tr>
      <w:tr w:rsidR="00CC742F" w:rsidRPr="00A1435F" w14:paraId="5023121E" w14:textId="77777777" w:rsidTr="00CC742F">
        <w:trPr>
          <w:trHeight w:val="310"/>
          <w:jc w:val="center"/>
        </w:trPr>
        <w:tc>
          <w:tcPr>
            <w:tcW w:w="3527" w:type="dxa"/>
            <w:tcBorders>
              <w:top w:val="nil"/>
              <w:left w:val="nil"/>
              <w:bottom w:val="nil"/>
              <w:right w:val="nil"/>
            </w:tcBorders>
            <w:shd w:val="clear" w:color="000000" w:fill="F2F2F2"/>
            <w:vAlign w:val="center"/>
            <w:hideMark/>
          </w:tcPr>
          <w:p w14:paraId="65B07F73"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Subcuenta 2 (RJPS2)</w:t>
            </w:r>
          </w:p>
        </w:tc>
        <w:tc>
          <w:tcPr>
            <w:tcW w:w="1525" w:type="dxa"/>
            <w:tcBorders>
              <w:top w:val="nil"/>
              <w:left w:val="nil"/>
              <w:bottom w:val="nil"/>
              <w:right w:val="nil"/>
            </w:tcBorders>
            <w:shd w:val="clear" w:color="000000" w:fill="F2F2F2"/>
            <w:vAlign w:val="center"/>
            <w:hideMark/>
          </w:tcPr>
          <w:p w14:paraId="3F164F2C"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2,100,859,868.1</w:t>
            </w:r>
          </w:p>
        </w:tc>
        <w:tc>
          <w:tcPr>
            <w:tcW w:w="1626" w:type="dxa"/>
            <w:tcBorders>
              <w:top w:val="nil"/>
              <w:left w:val="nil"/>
              <w:bottom w:val="nil"/>
              <w:right w:val="nil"/>
            </w:tcBorders>
            <w:shd w:val="clear" w:color="000000" w:fill="F2F2F2"/>
            <w:vAlign w:val="center"/>
            <w:hideMark/>
          </w:tcPr>
          <w:p w14:paraId="55E81024"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933,795,402.7</w:t>
            </w:r>
          </w:p>
        </w:tc>
        <w:tc>
          <w:tcPr>
            <w:tcW w:w="1701" w:type="dxa"/>
            <w:tcBorders>
              <w:top w:val="nil"/>
              <w:left w:val="nil"/>
              <w:bottom w:val="nil"/>
              <w:right w:val="nil"/>
            </w:tcBorders>
            <w:shd w:val="clear" w:color="000000" w:fill="F2F2F2"/>
            <w:vAlign w:val="center"/>
            <w:hideMark/>
          </w:tcPr>
          <w:p w14:paraId="42C02805"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108,511,260,158.7</w:t>
            </w:r>
          </w:p>
        </w:tc>
        <w:tc>
          <w:tcPr>
            <w:tcW w:w="1985" w:type="dxa"/>
            <w:tcBorders>
              <w:top w:val="nil"/>
              <w:left w:val="nil"/>
              <w:bottom w:val="nil"/>
              <w:right w:val="nil"/>
            </w:tcBorders>
            <w:shd w:val="clear" w:color="000000" w:fill="F2F2F2"/>
            <w:vAlign w:val="center"/>
            <w:hideMark/>
          </w:tcPr>
          <w:p w14:paraId="60CC13B8"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111,545,915,429.5</w:t>
            </w:r>
          </w:p>
        </w:tc>
        <w:tc>
          <w:tcPr>
            <w:tcW w:w="2126" w:type="dxa"/>
            <w:tcBorders>
              <w:top w:val="nil"/>
              <w:left w:val="nil"/>
              <w:bottom w:val="nil"/>
              <w:right w:val="nil"/>
            </w:tcBorders>
            <w:shd w:val="clear" w:color="000000" w:fill="F2F2F2"/>
            <w:vAlign w:val="center"/>
            <w:hideMark/>
          </w:tcPr>
          <w:p w14:paraId="101D53C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111,546,090,484.7</w:t>
            </w:r>
          </w:p>
        </w:tc>
      </w:tr>
      <w:tr w:rsidR="00CC742F" w:rsidRPr="00A1435F" w14:paraId="36ECCAA7" w14:textId="77777777" w:rsidTr="00CC742F">
        <w:trPr>
          <w:trHeight w:val="310"/>
          <w:jc w:val="center"/>
        </w:trPr>
        <w:tc>
          <w:tcPr>
            <w:tcW w:w="3527" w:type="dxa"/>
            <w:tcBorders>
              <w:top w:val="nil"/>
              <w:left w:val="nil"/>
              <w:bottom w:val="nil"/>
              <w:right w:val="nil"/>
            </w:tcBorders>
            <w:shd w:val="clear" w:color="000000" w:fill="F2F2F2"/>
            <w:vAlign w:val="center"/>
            <w:hideMark/>
          </w:tcPr>
          <w:p w14:paraId="6C7ADE2A"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Subcuenta 1 (RJPS1)</w:t>
            </w:r>
          </w:p>
        </w:tc>
        <w:tc>
          <w:tcPr>
            <w:tcW w:w="1525" w:type="dxa"/>
            <w:tcBorders>
              <w:top w:val="nil"/>
              <w:left w:val="nil"/>
              <w:bottom w:val="nil"/>
              <w:right w:val="nil"/>
            </w:tcBorders>
            <w:shd w:val="clear" w:color="000000" w:fill="F2F2F2"/>
            <w:vAlign w:val="center"/>
            <w:hideMark/>
          </w:tcPr>
          <w:p w14:paraId="40A9E639"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3,852,131,249.3</w:t>
            </w:r>
          </w:p>
        </w:tc>
        <w:tc>
          <w:tcPr>
            <w:tcW w:w="1626" w:type="dxa"/>
            <w:tcBorders>
              <w:top w:val="nil"/>
              <w:left w:val="nil"/>
              <w:bottom w:val="nil"/>
              <w:right w:val="nil"/>
            </w:tcBorders>
            <w:shd w:val="clear" w:color="000000" w:fill="F2F2F2"/>
            <w:vAlign w:val="center"/>
            <w:hideMark/>
          </w:tcPr>
          <w:p w14:paraId="50F1E10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1,035,251,780.4</w:t>
            </w:r>
          </w:p>
        </w:tc>
        <w:tc>
          <w:tcPr>
            <w:tcW w:w="1701" w:type="dxa"/>
            <w:tcBorders>
              <w:top w:val="nil"/>
              <w:left w:val="nil"/>
              <w:bottom w:val="nil"/>
              <w:right w:val="nil"/>
            </w:tcBorders>
            <w:shd w:val="clear" w:color="000000" w:fill="F2F2F2"/>
            <w:vAlign w:val="center"/>
            <w:hideMark/>
          </w:tcPr>
          <w:p w14:paraId="6A5214CB"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26,247,843.6</w:t>
            </w:r>
          </w:p>
        </w:tc>
        <w:tc>
          <w:tcPr>
            <w:tcW w:w="1985" w:type="dxa"/>
            <w:tcBorders>
              <w:top w:val="nil"/>
              <w:left w:val="nil"/>
              <w:bottom w:val="nil"/>
              <w:right w:val="nil"/>
            </w:tcBorders>
            <w:shd w:val="clear" w:color="000000" w:fill="F2F2F2"/>
            <w:vAlign w:val="center"/>
            <w:hideMark/>
          </w:tcPr>
          <w:p w14:paraId="69F48E61"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4,913,630,873.3</w:t>
            </w:r>
          </w:p>
        </w:tc>
        <w:tc>
          <w:tcPr>
            <w:tcW w:w="2126" w:type="dxa"/>
            <w:tcBorders>
              <w:top w:val="nil"/>
              <w:left w:val="nil"/>
              <w:bottom w:val="nil"/>
              <w:right w:val="nil"/>
            </w:tcBorders>
            <w:shd w:val="clear" w:color="000000" w:fill="F2F2F2"/>
            <w:vAlign w:val="center"/>
            <w:hideMark/>
          </w:tcPr>
          <w:p w14:paraId="660708E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79,446,100,215.6</w:t>
            </w:r>
          </w:p>
        </w:tc>
      </w:tr>
      <w:tr w:rsidR="00CC742F" w:rsidRPr="00A1435F" w14:paraId="131BB159" w14:textId="77777777" w:rsidTr="00CC742F">
        <w:trPr>
          <w:trHeight w:val="310"/>
          <w:jc w:val="center"/>
        </w:trPr>
        <w:tc>
          <w:tcPr>
            <w:tcW w:w="3527" w:type="dxa"/>
            <w:tcBorders>
              <w:top w:val="nil"/>
              <w:left w:val="nil"/>
              <w:bottom w:val="nil"/>
              <w:right w:val="nil"/>
            </w:tcBorders>
            <w:shd w:val="clear" w:color="000000" w:fill="F2F2F2"/>
            <w:vAlign w:val="center"/>
            <w:hideMark/>
          </w:tcPr>
          <w:p w14:paraId="35272882" w14:textId="77777777" w:rsidR="00CC742F" w:rsidRPr="009B0293" w:rsidRDefault="00CC742F" w:rsidP="006B29AE">
            <w:pPr>
              <w:spacing w:after="0" w:line="240" w:lineRule="exact"/>
              <w:rPr>
                <w:rFonts w:ascii="Montserrat" w:eastAsia="Times New Roman" w:hAnsi="Montserrat"/>
                <w:b/>
                <w:bCs/>
                <w:color w:val="000000"/>
                <w:sz w:val="15"/>
                <w:szCs w:val="15"/>
                <w:lang w:val="es-MX" w:eastAsia="es-MX"/>
              </w:rPr>
            </w:pPr>
            <w:r w:rsidRPr="009B0293">
              <w:rPr>
                <w:rFonts w:ascii="Montserrat" w:eastAsia="Times New Roman" w:hAnsi="Montserrat"/>
                <w:b/>
                <w:bCs/>
                <w:color w:val="000000"/>
                <w:sz w:val="15"/>
                <w:szCs w:val="15"/>
                <w:lang w:eastAsia="es-MX"/>
              </w:rPr>
              <w:t>Subtotal Fondo Laboral</w:t>
            </w:r>
          </w:p>
        </w:tc>
        <w:tc>
          <w:tcPr>
            <w:tcW w:w="1525" w:type="dxa"/>
            <w:tcBorders>
              <w:top w:val="nil"/>
              <w:left w:val="nil"/>
              <w:bottom w:val="nil"/>
              <w:right w:val="nil"/>
            </w:tcBorders>
            <w:shd w:val="clear" w:color="000000" w:fill="F2F2F2"/>
            <w:vAlign w:val="center"/>
            <w:hideMark/>
          </w:tcPr>
          <w:p w14:paraId="3A49D3C6"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103,487,688,066.9</w:t>
            </w:r>
          </w:p>
        </w:tc>
        <w:tc>
          <w:tcPr>
            <w:tcW w:w="1626" w:type="dxa"/>
            <w:tcBorders>
              <w:top w:val="nil"/>
              <w:left w:val="nil"/>
              <w:bottom w:val="nil"/>
              <w:right w:val="nil"/>
            </w:tcBorders>
            <w:shd w:val="clear" w:color="000000" w:fill="F2F2F2"/>
            <w:vAlign w:val="center"/>
            <w:hideMark/>
          </w:tcPr>
          <w:p w14:paraId="3D4E36E2"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22,016,988,111.7</w:t>
            </w:r>
          </w:p>
        </w:tc>
        <w:tc>
          <w:tcPr>
            <w:tcW w:w="1701" w:type="dxa"/>
            <w:tcBorders>
              <w:top w:val="nil"/>
              <w:left w:val="nil"/>
              <w:bottom w:val="nil"/>
              <w:right w:val="nil"/>
            </w:tcBorders>
            <w:shd w:val="clear" w:color="000000" w:fill="F2F2F2"/>
            <w:vAlign w:val="center"/>
            <w:hideMark/>
          </w:tcPr>
          <w:p w14:paraId="7C9C61C7"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195,846,715,231.6</w:t>
            </w:r>
          </w:p>
        </w:tc>
        <w:tc>
          <w:tcPr>
            <w:tcW w:w="1985" w:type="dxa"/>
            <w:tcBorders>
              <w:top w:val="nil"/>
              <w:left w:val="nil"/>
              <w:bottom w:val="nil"/>
              <w:right w:val="nil"/>
            </w:tcBorders>
            <w:shd w:val="clear" w:color="000000" w:fill="F2F2F2"/>
            <w:vAlign w:val="center"/>
            <w:hideMark/>
          </w:tcPr>
          <w:p w14:paraId="165FFBCB"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321,351,391,410.2</w:t>
            </w:r>
          </w:p>
        </w:tc>
        <w:tc>
          <w:tcPr>
            <w:tcW w:w="2126" w:type="dxa"/>
            <w:tcBorders>
              <w:top w:val="nil"/>
              <w:left w:val="nil"/>
              <w:bottom w:val="nil"/>
              <w:right w:val="nil"/>
            </w:tcBorders>
            <w:shd w:val="clear" w:color="000000" w:fill="F2F2F2"/>
            <w:vAlign w:val="center"/>
            <w:hideMark/>
          </w:tcPr>
          <w:p w14:paraId="7B4B4ED1"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402,390,945,772.3</w:t>
            </w:r>
          </w:p>
        </w:tc>
      </w:tr>
      <w:tr w:rsidR="00CC742F" w:rsidRPr="00A1435F" w14:paraId="5448BCF6" w14:textId="77777777" w:rsidTr="00CC742F">
        <w:trPr>
          <w:trHeight w:val="371"/>
          <w:jc w:val="center"/>
        </w:trPr>
        <w:tc>
          <w:tcPr>
            <w:tcW w:w="3527" w:type="dxa"/>
            <w:tcBorders>
              <w:top w:val="nil"/>
              <w:left w:val="nil"/>
              <w:bottom w:val="nil"/>
              <w:right w:val="nil"/>
            </w:tcBorders>
            <w:shd w:val="clear" w:color="000000" w:fill="F2F2F2"/>
            <w:vAlign w:val="center"/>
            <w:hideMark/>
          </w:tcPr>
          <w:p w14:paraId="286F5BE8"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Reserva para hacer frente a reclamaciones de SAR</w:t>
            </w:r>
          </w:p>
        </w:tc>
        <w:tc>
          <w:tcPr>
            <w:tcW w:w="1525" w:type="dxa"/>
            <w:tcBorders>
              <w:top w:val="nil"/>
              <w:left w:val="nil"/>
              <w:bottom w:val="nil"/>
              <w:right w:val="nil"/>
            </w:tcBorders>
            <w:shd w:val="clear" w:color="000000" w:fill="F2F2F2"/>
            <w:vAlign w:val="center"/>
            <w:hideMark/>
          </w:tcPr>
          <w:p w14:paraId="53258C13"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8,799,826.5</w:t>
            </w:r>
          </w:p>
        </w:tc>
        <w:tc>
          <w:tcPr>
            <w:tcW w:w="1626" w:type="dxa"/>
            <w:tcBorders>
              <w:top w:val="nil"/>
              <w:left w:val="nil"/>
              <w:bottom w:val="nil"/>
              <w:right w:val="nil"/>
            </w:tcBorders>
            <w:shd w:val="clear" w:color="000000" w:fill="F2F2F2"/>
            <w:vAlign w:val="center"/>
            <w:hideMark/>
          </w:tcPr>
          <w:p w14:paraId="627BA8F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0</w:t>
            </w:r>
            <w:r w:rsidRPr="00532EFE">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3D0DF36F"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5B40ABC9"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8,799,826.5</w:t>
            </w:r>
          </w:p>
        </w:tc>
        <w:tc>
          <w:tcPr>
            <w:tcW w:w="2126" w:type="dxa"/>
            <w:tcBorders>
              <w:top w:val="nil"/>
              <w:left w:val="nil"/>
              <w:bottom w:val="nil"/>
              <w:right w:val="nil"/>
            </w:tcBorders>
            <w:shd w:val="clear" w:color="000000" w:fill="F2F2F2"/>
            <w:vAlign w:val="center"/>
            <w:hideMark/>
          </w:tcPr>
          <w:p w14:paraId="5B0B1C4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r>
      <w:tr w:rsidR="00CC742F" w:rsidRPr="00A1435F" w14:paraId="0751C5C0" w14:textId="77777777" w:rsidTr="00CC742F">
        <w:trPr>
          <w:trHeight w:val="371"/>
          <w:jc w:val="center"/>
        </w:trPr>
        <w:tc>
          <w:tcPr>
            <w:tcW w:w="3527" w:type="dxa"/>
            <w:tcBorders>
              <w:top w:val="nil"/>
              <w:left w:val="nil"/>
              <w:bottom w:val="nil"/>
              <w:right w:val="nil"/>
            </w:tcBorders>
            <w:shd w:val="clear" w:color="000000" w:fill="F2F2F2"/>
            <w:vAlign w:val="center"/>
            <w:hideMark/>
          </w:tcPr>
          <w:p w14:paraId="05861C29" w14:textId="77777777" w:rsidR="00CC742F" w:rsidRPr="009B0293" w:rsidRDefault="00CC742F" w:rsidP="006B29AE">
            <w:pPr>
              <w:spacing w:after="0" w:line="240" w:lineRule="exact"/>
              <w:rPr>
                <w:rFonts w:ascii="Montserrat" w:eastAsia="Times New Roman" w:hAnsi="Montserrat"/>
                <w:b/>
                <w:bCs/>
                <w:color w:val="000000"/>
                <w:sz w:val="15"/>
                <w:szCs w:val="15"/>
                <w:lang w:val="es-MX" w:eastAsia="es-MX"/>
              </w:rPr>
            </w:pPr>
            <w:r w:rsidRPr="009B0293">
              <w:rPr>
                <w:rFonts w:ascii="Montserrat" w:eastAsia="Times New Roman" w:hAnsi="Montserrat"/>
                <w:b/>
                <w:bCs/>
                <w:color w:val="000000"/>
                <w:sz w:val="15"/>
                <w:szCs w:val="15"/>
                <w:lang w:eastAsia="es-MX"/>
              </w:rPr>
              <w:t>Subtotal Inversiones Financieras</w:t>
            </w:r>
          </w:p>
        </w:tc>
        <w:tc>
          <w:tcPr>
            <w:tcW w:w="1525" w:type="dxa"/>
            <w:tcBorders>
              <w:top w:val="nil"/>
              <w:left w:val="nil"/>
              <w:bottom w:val="nil"/>
              <w:right w:val="nil"/>
            </w:tcBorders>
            <w:shd w:val="clear" w:color="000000" w:fill="F2F2F2"/>
            <w:vAlign w:val="center"/>
            <w:hideMark/>
          </w:tcPr>
          <w:p w14:paraId="04F30EDD"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103,496,487,893.4</w:t>
            </w:r>
          </w:p>
        </w:tc>
        <w:tc>
          <w:tcPr>
            <w:tcW w:w="1626" w:type="dxa"/>
            <w:tcBorders>
              <w:top w:val="nil"/>
              <w:left w:val="nil"/>
              <w:bottom w:val="nil"/>
              <w:right w:val="nil"/>
            </w:tcBorders>
            <w:shd w:val="clear" w:color="000000" w:fill="F2F2F2"/>
            <w:vAlign w:val="center"/>
            <w:hideMark/>
          </w:tcPr>
          <w:p w14:paraId="7B8DF013"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22,016,988,111.7</w:t>
            </w:r>
          </w:p>
        </w:tc>
        <w:tc>
          <w:tcPr>
            <w:tcW w:w="1701" w:type="dxa"/>
            <w:tcBorders>
              <w:top w:val="nil"/>
              <w:left w:val="nil"/>
              <w:bottom w:val="nil"/>
              <w:right w:val="nil"/>
            </w:tcBorders>
            <w:shd w:val="clear" w:color="000000" w:fill="F2F2F2"/>
            <w:vAlign w:val="center"/>
            <w:hideMark/>
          </w:tcPr>
          <w:p w14:paraId="0F400729"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195,846,715,231.6</w:t>
            </w:r>
          </w:p>
        </w:tc>
        <w:tc>
          <w:tcPr>
            <w:tcW w:w="1985" w:type="dxa"/>
            <w:tcBorders>
              <w:top w:val="nil"/>
              <w:left w:val="nil"/>
              <w:bottom w:val="nil"/>
              <w:right w:val="nil"/>
            </w:tcBorders>
            <w:shd w:val="clear" w:color="000000" w:fill="F2F2F2"/>
            <w:vAlign w:val="center"/>
            <w:hideMark/>
          </w:tcPr>
          <w:p w14:paraId="265F65EB"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321,360,191,236.7</w:t>
            </w:r>
          </w:p>
        </w:tc>
        <w:tc>
          <w:tcPr>
            <w:tcW w:w="2126" w:type="dxa"/>
            <w:tcBorders>
              <w:top w:val="nil"/>
              <w:left w:val="nil"/>
              <w:bottom w:val="nil"/>
              <w:right w:val="nil"/>
            </w:tcBorders>
            <w:shd w:val="clear" w:color="000000" w:fill="F2F2F2"/>
            <w:vAlign w:val="center"/>
            <w:hideMark/>
          </w:tcPr>
          <w:p w14:paraId="34D5C0CA"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402,390,945,772.3</w:t>
            </w:r>
          </w:p>
        </w:tc>
      </w:tr>
      <w:tr w:rsidR="00CC742F" w:rsidRPr="00A1435F" w14:paraId="44386A3A" w14:textId="77777777" w:rsidTr="00CC742F">
        <w:trPr>
          <w:trHeight w:val="378"/>
          <w:jc w:val="center"/>
        </w:trPr>
        <w:tc>
          <w:tcPr>
            <w:tcW w:w="3527" w:type="dxa"/>
            <w:tcBorders>
              <w:top w:val="nil"/>
              <w:left w:val="nil"/>
              <w:bottom w:val="nil"/>
              <w:right w:val="nil"/>
            </w:tcBorders>
            <w:shd w:val="clear" w:color="000000" w:fill="F2F2F2"/>
            <w:vAlign w:val="center"/>
            <w:hideMark/>
          </w:tcPr>
          <w:p w14:paraId="671C0B59"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Reserva Operativa (RO)</w:t>
            </w:r>
          </w:p>
        </w:tc>
        <w:tc>
          <w:tcPr>
            <w:tcW w:w="1525" w:type="dxa"/>
            <w:tcBorders>
              <w:top w:val="nil"/>
              <w:left w:val="nil"/>
              <w:bottom w:val="nil"/>
              <w:right w:val="nil"/>
            </w:tcBorders>
            <w:shd w:val="clear" w:color="000000" w:fill="F2F2F2"/>
            <w:vAlign w:val="center"/>
            <w:hideMark/>
          </w:tcPr>
          <w:p w14:paraId="39EC42CE"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4,778,740,720.7</w:t>
            </w:r>
          </w:p>
        </w:tc>
        <w:tc>
          <w:tcPr>
            <w:tcW w:w="1626" w:type="dxa"/>
            <w:tcBorders>
              <w:top w:val="nil"/>
              <w:left w:val="nil"/>
              <w:bottom w:val="nil"/>
              <w:right w:val="nil"/>
            </w:tcBorders>
            <w:shd w:val="clear" w:color="000000" w:fill="F2F2F2"/>
            <w:vAlign w:val="center"/>
            <w:hideMark/>
          </w:tcPr>
          <w:p w14:paraId="37CB9AC6"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18FD71C7"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4E029C95"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4,778,740,720.7</w:t>
            </w:r>
          </w:p>
        </w:tc>
        <w:tc>
          <w:tcPr>
            <w:tcW w:w="2126" w:type="dxa"/>
            <w:tcBorders>
              <w:top w:val="nil"/>
              <w:left w:val="nil"/>
              <w:bottom w:val="nil"/>
              <w:right w:val="nil"/>
            </w:tcBorders>
            <w:shd w:val="clear" w:color="000000" w:fill="F2F2F2"/>
            <w:vAlign w:val="center"/>
            <w:hideMark/>
          </w:tcPr>
          <w:p w14:paraId="553DF04C"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r>
      <w:tr w:rsidR="00CC742F" w:rsidRPr="00A1435F" w14:paraId="6881E959" w14:textId="77777777" w:rsidTr="00CC742F">
        <w:trPr>
          <w:trHeight w:val="171"/>
          <w:jc w:val="center"/>
        </w:trPr>
        <w:tc>
          <w:tcPr>
            <w:tcW w:w="3527" w:type="dxa"/>
            <w:tcBorders>
              <w:top w:val="nil"/>
              <w:left w:val="nil"/>
              <w:bottom w:val="nil"/>
              <w:right w:val="nil"/>
            </w:tcBorders>
            <w:shd w:val="clear" w:color="000000" w:fill="F2F2F2"/>
            <w:vAlign w:val="center"/>
            <w:hideMark/>
          </w:tcPr>
          <w:p w14:paraId="43500C03" w14:textId="77777777" w:rsidR="00CC742F" w:rsidRPr="009B0293" w:rsidRDefault="00CC742F" w:rsidP="006B29AE">
            <w:pPr>
              <w:spacing w:after="0" w:line="240" w:lineRule="exact"/>
              <w:rPr>
                <w:rFonts w:ascii="Montserrat" w:eastAsia="Times New Roman" w:hAnsi="Montserrat"/>
                <w:color w:val="000000"/>
                <w:sz w:val="15"/>
                <w:szCs w:val="15"/>
                <w:lang w:val="es-MX" w:eastAsia="es-MX"/>
              </w:rPr>
            </w:pPr>
            <w:r w:rsidRPr="009B0293">
              <w:rPr>
                <w:rFonts w:ascii="Montserrat" w:eastAsia="Times New Roman" w:hAnsi="Montserrat"/>
                <w:color w:val="000000"/>
                <w:sz w:val="15"/>
                <w:szCs w:val="15"/>
                <w:lang w:eastAsia="es-MX"/>
              </w:rPr>
              <w:t xml:space="preserve">Fondos de Inversión </w:t>
            </w:r>
          </w:p>
        </w:tc>
        <w:tc>
          <w:tcPr>
            <w:tcW w:w="1525" w:type="dxa"/>
            <w:tcBorders>
              <w:top w:val="nil"/>
              <w:left w:val="nil"/>
              <w:bottom w:val="nil"/>
              <w:right w:val="nil"/>
            </w:tcBorders>
            <w:shd w:val="clear" w:color="000000" w:fill="F2F2F2"/>
            <w:vAlign w:val="center"/>
            <w:hideMark/>
          </w:tcPr>
          <w:p w14:paraId="70E999DE"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2,550,651,457.3</w:t>
            </w:r>
          </w:p>
        </w:tc>
        <w:tc>
          <w:tcPr>
            <w:tcW w:w="1626" w:type="dxa"/>
            <w:tcBorders>
              <w:top w:val="nil"/>
              <w:left w:val="nil"/>
              <w:bottom w:val="nil"/>
              <w:right w:val="nil"/>
            </w:tcBorders>
            <w:shd w:val="clear" w:color="000000" w:fill="F2F2F2"/>
            <w:vAlign w:val="center"/>
            <w:hideMark/>
          </w:tcPr>
          <w:p w14:paraId="4CC0BE20"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194AC1CC"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63F95F5D"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2,550,651,457.3</w:t>
            </w:r>
          </w:p>
        </w:tc>
        <w:tc>
          <w:tcPr>
            <w:tcW w:w="2126" w:type="dxa"/>
            <w:tcBorders>
              <w:top w:val="nil"/>
              <w:left w:val="nil"/>
              <w:bottom w:val="nil"/>
              <w:right w:val="nil"/>
            </w:tcBorders>
            <w:shd w:val="clear" w:color="000000" w:fill="F2F2F2"/>
            <w:vAlign w:val="center"/>
            <w:hideMark/>
          </w:tcPr>
          <w:p w14:paraId="70CC4BB9" w14:textId="77777777" w:rsidR="00CC742F" w:rsidRPr="00532EFE" w:rsidRDefault="00CC742F" w:rsidP="006B29AE">
            <w:pPr>
              <w:spacing w:after="0" w:line="240" w:lineRule="exact"/>
              <w:jc w:val="right"/>
              <w:rPr>
                <w:rFonts w:ascii="Montserrat" w:eastAsia="Times New Roman" w:hAnsi="Montserrat"/>
                <w:color w:val="000000"/>
                <w:sz w:val="15"/>
                <w:szCs w:val="15"/>
                <w:lang w:val="es-MX" w:eastAsia="es-MX"/>
              </w:rPr>
            </w:pPr>
            <w:r w:rsidRPr="00532EFE">
              <w:rPr>
                <w:rFonts w:ascii="Montserrat" w:eastAsia="Times New Roman" w:hAnsi="Montserrat"/>
                <w:color w:val="000000"/>
                <w:sz w:val="15"/>
                <w:szCs w:val="15"/>
                <w:lang w:eastAsia="es-MX"/>
              </w:rPr>
              <w:t xml:space="preserve">                       </w:t>
            </w:r>
            <w:r>
              <w:rPr>
                <w:rFonts w:ascii="Montserrat" w:eastAsia="Times New Roman" w:hAnsi="Montserrat"/>
                <w:color w:val="000000"/>
                <w:sz w:val="15"/>
                <w:szCs w:val="15"/>
                <w:lang w:eastAsia="es-MX"/>
              </w:rPr>
              <w:t xml:space="preserve">             0</w:t>
            </w:r>
            <w:r w:rsidRPr="00532EFE">
              <w:rPr>
                <w:rFonts w:ascii="Montserrat" w:eastAsia="Times New Roman" w:hAnsi="Montserrat"/>
                <w:color w:val="000000"/>
                <w:sz w:val="15"/>
                <w:szCs w:val="15"/>
                <w:lang w:eastAsia="es-MX"/>
              </w:rPr>
              <w:t xml:space="preserve">      </w:t>
            </w:r>
          </w:p>
        </w:tc>
      </w:tr>
      <w:tr w:rsidR="00CC742F" w:rsidRPr="00A1435F" w14:paraId="149CAFCA" w14:textId="77777777" w:rsidTr="00CC742F">
        <w:trPr>
          <w:trHeight w:val="325"/>
          <w:jc w:val="center"/>
        </w:trPr>
        <w:tc>
          <w:tcPr>
            <w:tcW w:w="3527" w:type="dxa"/>
            <w:tcBorders>
              <w:top w:val="nil"/>
              <w:left w:val="nil"/>
              <w:bottom w:val="single" w:sz="12" w:space="0" w:color="808080"/>
              <w:right w:val="nil"/>
            </w:tcBorders>
            <w:shd w:val="clear" w:color="000000" w:fill="F2F2F2"/>
            <w:vAlign w:val="center"/>
            <w:hideMark/>
          </w:tcPr>
          <w:p w14:paraId="5AE1DFF6" w14:textId="77777777" w:rsidR="00CC742F" w:rsidRPr="009B0293" w:rsidRDefault="00CC742F" w:rsidP="006B29AE">
            <w:pPr>
              <w:spacing w:after="0" w:line="240" w:lineRule="exact"/>
              <w:rPr>
                <w:rFonts w:ascii="Montserrat" w:eastAsia="Times New Roman" w:hAnsi="Montserrat"/>
                <w:b/>
                <w:bCs/>
                <w:color w:val="000000"/>
                <w:sz w:val="15"/>
                <w:szCs w:val="15"/>
                <w:lang w:val="es-MX" w:eastAsia="es-MX"/>
              </w:rPr>
            </w:pPr>
            <w:r w:rsidRPr="009B0293">
              <w:rPr>
                <w:rFonts w:ascii="Montserrat" w:eastAsia="Times New Roman" w:hAnsi="Montserrat"/>
                <w:b/>
                <w:bCs/>
                <w:color w:val="000000"/>
                <w:sz w:val="15"/>
                <w:szCs w:val="15"/>
                <w:lang w:eastAsia="es-MX"/>
              </w:rPr>
              <w:t>Total</w:t>
            </w:r>
          </w:p>
        </w:tc>
        <w:tc>
          <w:tcPr>
            <w:tcW w:w="1525" w:type="dxa"/>
            <w:tcBorders>
              <w:top w:val="nil"/>
              <w:left w:val="nil"/>
              <w:bottom w:val="single" w:sz="12" w:space="0" w:color="808080"/>
              <w:right w:val="nil"/>
            </w:tcBorders>
            <w:shd w:val="clear" w:color="000000" w:fill="F2F2F2"/>
            <w:vAlign w:val="center"/>
            <w:hideMark/>
          </w:tcPr>
          <w:p w14:paraId="2659B809"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110,825,880,071.4</w:t>
            </w:r>
          </w:p>
        </w:tc>
        <w:tc>
          <w:tcPr>
            <w:tcW w:w="1626" w:type="dxa"/>
            <w:tcBorders>
              <w:top w:val="nil"/>
              <w:left w:val="nil"/>
              <w:bottom w:val="single" w:sz="12" w:space="0" w:color="808080"/>
              <w:right w:val="nil"/>
            </w:tcBorders>
            <w:shd w:val="clear" w:color="000000" w:fill="F2F2F2"/>
            <w:vAlign w:val="center"/>
            <w:hideMark/>
          </w:tcPr>
          <w:p w14:paraId="5AF5F8AD"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22,016,988,111.7</w:t>
            </w:r>
          </w:p>
        </w:tc>
        <w:tc>
          <w:tcPr>
            <w:tcW w:w="1701" w:type="dxa"/>
            <w:tcBorders>
              <w:top w:val="nil"/>
              <w:left w:val="nil"/>
              <w:bottom w:val="single" w:sz="12" w:space="0" w:color="808080"/>
              <w:right w:val="nil"/>
            </w:tcBorders>
            <w:shd w:val="clear" w:color="000000" w:fill="F2F2F2"/>
            <w:vAlign w:val="center"/>
            <w:hideMark/>
          </w:tcPr>
          <w:p w14:paraId="2951E2A9"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195,846,715,231.6</w:t>
            </w:r>
          </w:p>
        </w:tc>
        <w:tc>
          <w:tcPr>
            <w:tcW w:w="1985" w:type="dxa"/>
            <w:tcBorders>
              <w:top w:val="nil"/>
              <w:left w:val="nil"/>
              <w:bottom w:val="single" w:sz="12" w:space="0" w:color="808080"/>
              <w:right w:val="nil"/>
            </w:tcBorders>
            <w:shd w:val="clear" w:color="000000" w:fill="F2F2F2"/>
            <w:vAlign w:val="center"/>
            <w:hideMark/>
          </w:tcPr>
          <w:p w14:paraId="457130C1"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328,689,583,414.7</w:t>
            </w:r>
          </w:p>
        </w:tc>
        <w:tc>
          <w:tcPr>
            <w:tcW w:w="2126" w:type="dxa"/>
            <w:tcBorders>
              <w:top w:val="nil"/>
              <w:left w:val="nil"/>
              <w:bottom w:val="single" w:sz="12" w:space="0" w:color="808080"/>
              <w:right w:val="nil"/>
            </w:tcBorders>
            <w:shd w:val="clear" w:color="000000" w:fill="F2F2F2"/>
            <w:vAlign w:val="center"/>
            <w:hideMark/>
          </w:tcPr>
          <w:p w14:paraId="22684145" w14:textId="77777777" w:rsidR="00CC742F" w:rsidRPr="00532EFE" w:rsidRDefault="00CC742F" w:rsidP="006B29AE">
            <w:pPr>
              <w:spacing w:after="0" w:line="240" w:lineRule="exact"/>
              <w:jc w:val="right"/>
              <w:rPr>
                <w:rFonts w:ascii="Montserrat" w:eastAsia="Times New Roman" w:hAnsi="Montserrat"/>
                <w:b/>
                <w:bCs/>
                <w:color w:val="000000"/>
                <w:sz w:val="15"/>
                <w:szCs w:val="15"/>
                <w:lang w:val="es-MX" w:eastAsia="es-MX"/>
              </w:rPr>
            </w:pPr>
            <w:r w:rsidRPr="00532EFE">
              <w:rPr>
                <w:rFonts w:ascii="Montserrat" w:eastAsia="Times New Roman" w:hAnsi="Montserrat"/>
                <w:b/>
                <w:bCs/>
                <w:color w:val="000000"/>
                <w:sz w:val="15"/>
                <w:szCs w:val="15"/>
                <w:lang w:eastAsia="es-MX"/>
              </w:rPr>
              <w:t>402,390,945,772.3</w:t>
            </w:r>
          </w:p>
        </w:tc>
      </w:tr>
    </w:tbl>
    <w:p w14:paraId="139E8EC5" w14:textId="76A8F5A8" w:rsidR="00393450" w:rsidRPr="005B1145" w:rsidRDefault="00CC742F" w:rsidP="00C42548">
      <w:pPr>
        <w:pStyle w:val="TEXTONORMAL"/>
        <w:rPr>
          <w:lang w:val="es-MX"/>
        </w:rPr>
      </w:pPr>
      <w:r w:rsidRPr="00CC742F">
        <w:rPr>
          <w:lang w:val="es-MX"/>
        </w:rPr>
        <w:lastRenderedPageBreak/>
        <w:tab/>
      </w:r>
    </w:p>
    <w:p w14:paraId="44D7E466" w14:textId="77777777" w:rsidR="00C42548" w:rsidRPr="00731177" w:rsidRDefault="009C69C4" w:rsidP="00C42548">
      <w:pPr>
        <w:pStyle w:val="TEXTONORMAL"/>
      </w:pPr>
      <w:r w:rsidRPr="008125C9">
        <w:t>Al 30 de septiembre</w:t>
      </w:r>
      <w:r w:rsidR="00C42548" w:rsidRPr="008125C9">
        <w:t xml:space="preserve"> de 2022 y al 31 de diciembre de 2021, la posición de las inversiones de las Reservas y el Fondo Laboral se clasifican de la siguiente manera:</w:t>
      </w: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73"/>
        <w:gridCol w:w="1591"/>
        <w:gridCol w:w="1519"/>
      </w:tblGrid>
      <w:tr w:rsidR="00C42548" w:rsidRPr="0039371B" w14:paraId="1E2B289B"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2961E5D0" w14:textId="77777777" w:rsidR="00C42548" w:rsidRPr="00CC742F" w:rsidRDefault="00C42548" w:rsidP="009A4968">
            <w:pPr>
              <w:spacing w:after="0" w:line="240" w:lineRule="exact"/>
              <w:jc w:val="center"/>
              <w:rPr>
                <w:rFonts w:ascii="Montserrat" w:hAnsi="Montserrat"/>
                <w:b/>
                <w:color w:val="FFFFFF"/>
                <w:sz w:val="16"/>
                <w:szCs w:val="16"/>
              </w:rPr>
            </w:pPr>
            <w:r w:rsidRPr="00CC742F">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2BBA1E5A" w14:textId="77777777" w:rsidR="00C42548" w:rsidRPr="00CC742F" w:rsidRDefault="00C42548" w:rsidP="009A4968">
            <w:pPr>
              <w:spacing w:after="0" w:line="240" w:lineRule="exact"/>
              <w:jc w:val="center"/>
              <w:rPr>
                <w:rFonts w:ascii="Montserrat" w:hAnsi="Montserrat"/>
                <w:b/>
                <w:color w:val="FFFFFF"/>
                <w:sz w:val="16"/>
                <w:szCs w:val="16"/>
              </w:rPr>
            </w:pPr>
            <w:r w:rsidRPr="00CC742F">
              <w:rPr>
                <w:rFonts w:ascii="Montserrat" w:hAnsi="Montserrat"/>
                <w:b/>
                <w:color w:val="FFFFFF"/>
                <w:sz w:val="16"/>
                <w:szCs w:val="16"/>
              </w:rPr>
              <w:t>Cifras en pesos</w:t>
            </w:r>
          </w:p>
        </w:tc>
      </w:tr>
      <w:tr w:rsidR="00C42548" w:rsidRPr="0039371B" w14:paraId="717EF143"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78C187D7" w14:textId="77777777" w:rsidR="00C42548" w:rsidRPr="00CC742F" w:rsidRDefault="00C4254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3853286" w14:textId="77777777" w:rsidR="00C42548" w:rsidRPr="00CC742F" w:rsidRDefault="00C42548" w:rsidP="009A4968">
            <w:pPr>
              <w:spacing w:after="0" w:line="240" w:lineRule="exact"/>
              <w:jc w:val="center"/>
              <w:rPr>
                <w:rFonts w:ascii="Montserrat" w:hAnsi="Montserrat"/>
                <w:b/>
                <w:color w:val="FFFFFF"/>
                <w:sz w:val="16"/>
                <w:szCs w:val="16"/>
              </w:rPr>
            </w:pPr>
            <w:r w:rsidRPr="00CC742F">
              <w:rPr>
                <w:rFonts w:ascii="Montserrat" w:hAnsi="Montserrat"/>
                <w:b/>
                <w:color w:val="FFFFFF"/>
                <w:sz w:val="16"/>
                <w:szCs w:val="16"/>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17F01C6B" w14:textId="77777777" w:rsidR="00C42548" w:rsidRPr="00CC742F" w:rsidRDefault="00C42548" w:rsidP="009A4968">
            <w:pPr>
              <w:spacing w:after="0" w:line="240" w:lineRule="exact"/>
              <w:jc w:val="center"/>
              <w:rPr>
                <w:rFonts w:ascii="Montserrat" w:hAnsi="Montserrat"/>
                <w:b/>
                <w:color w:val="FFFFFF"/>
                <w:sz w:val="16"/>
                <w:szCs w:val="16"/>
              </w:rPr>
            </w:pPr>
            <w:r w:rsidRPr="00CC742F">
              <w:rPr>
                <w:rFonts w:ascii="Montserrat" w:hAnsi="Montserrat"/>
                <w:b/>
                <w:color w:val="FFFFFF"/>
                <w:sz w:val="16"/>
                <w:szCs w:val="16"/>
              </w:rPr>
              <w:t>2021</w:t>
            </w:r>
          </w:p>
        </w:tc>
      </w:tr>
      <w:tr w:rsidR="000269DC" w:rsidRPr="0039371B" w14:paraId="6B165528" w14:textId="77777777" w:rsidTr="009A4968">
        <w:tc>
          <w:tcPr>
            <w:tcW w:w="0" w:type="auto"/>
            <w:tcBorders>
              <w:top w:val="double" w:sz="12" w:space="0" w:color="808080"/>
              <w:left w:val="nil"/>
              <w:bottom w:val="nil"/>
              <w:right w:val="nil"/>
            </w:tcBorders>
            <w:shd w:val="clear" w:color="auto" w:fill="F2F2F2"/>
            <w:vAlign w:val="bottom"/>
            <w:hideMark/>
          </w:tcPr>
          <w:p w14:paraId="2DFA809E" w14:textId="77777777" w:rsidR="000269DC" w:rsidRPr="00CC742F" w:rsidRDefault="000269DC" w:rsidP="000269DC">
            <w:pPr>
              <w:spacing w:after="0" w:line="240" w:lineRule="auto"/>
              <w:jc w:val="both"/>
              <w:rPr>
                <w:rFonts w:ascii="Montserrat" w:eastAsia="Times New Roman" w:hAnsi="Montserrat"/>
                <w:color w:val="000000"/>
                <w:sz w:val="15"/>
                <w:szCs w:val="15"/>
                <w:lang w:eastAsia="es-MX"/>
              </w:rPr>
            </w:pPr>
            <w:r w:rsidRPr="00CC742F">
              <w:rPr>
                <w:rFonts w:ascii="Montserrat" w:eastAsia="Times New Roman" w:hAnsi="Montserrat"/>
                <w:color w:val="000000"/>
                <w:sz w:val="15"/>
                <w:szCs w:val="15"/>
                <w:lang w:eastAsia="es-MX"/>
              </w:rPr>
              <w:t>Instrumentos Financieros para Cobrar Principal e Interés</w:t>
            </w:r>
          </w:p>
        </w:tc>
        <w:tc>
          <w:tcPr>
            <w:tcW w:w="0" w:type="auto"/>
            <w:tcBorders>
              <w:top w:val="double" w:sz="12" w:space="0" w:color="808080"/>
              <w:left w:val="nil"/>
              <w:bottom w:val="nil"/>
              <w:right w:val="nil"/>
            </w:tcBorders>
            <w:shd w:val="clear" w:color="auto" w:fill="F2F2F2"/>
            <w:hideMark/>
          </w:tcPr>
          <w:p w14:paraId="7E24E8D0" w14:textId="77777777" w:rsidR="000269DC" w:rsidRPr="000269DC" w:rsidRDefault="000269DC" w:rsidP="000269DC">
            <w:pPr>
              <w:spacing w:after="0" w:line="240" w:lineRule="exact"/>
              <w:jc w:val="right"/>
              <w:rPr>
                <w:rFonts w:ascii="Montserrat" w:hAnsi="Montserrat"/>
                <w:sz w:val="15"/>
                <w:szCs w:val="15"/>
              </w:rPr>
            </w:pPr>
            <w:r w:rsidRPr="000269DC">
              <w:rPr>
                <w:rFonts w:ascii="Montserrat" w:hAnsi="Montserrat"/>
                <w:sz w:val="15"/>
                <w:szCs w:val="15"/>
              </w:rPr>
              <w:t>274,635,316,309.</w:t>
            </w:r>
            <w:r>
              <w:rPr>
                <w:rFonts w:ascii="Montserrat" w:hAnsi="Montserrat"/>
                <w:sz w:val="15"/>
                <w:szCs w:val="15"/>
              </w:rPr>
              <w:t>9</w:t>
            </w:r>
          </w:p>
        </w:tc>
        <w:tc>
          <w:tcPr>
            <w:tcW w:w="0" w:type="auto"/>
            <w:tcBorders>
              <w:top w:val="double" w:sz="12" w:space="0" w:color="808080"/>
              <w:left w:val="nil"/>
              <w:bottom w:val="nil"/>
              <w:right w:val="nil"/>
            </w:tcBorders>
            <w:shd w:val="clear" w:color="auto" w:fill="F2F2F2"/>
            <w:hideMark/>
          </w:tcPr>
          <w:p w14:paraId="69047556" w14:textId="77777777" w:rsidR="000269DC" w:rsidRPr="00CC742F" w:rsidRDefault="000269DC" w:rsidP="000269DC">
            <w:pPr>
              <w:spacing w:after="0" w:line="240" w:lineRule="exact"/>
              <w:jc w:val="right"/>
              <w:rPr>
                <w:rFonts w:ascii="Montserrat" w:eastAsia="Times New Roman" w:hAnsi="Montserrat"/>
                <w:color w:val="000000"/>
                <w:sz w:val="15"/>
                <w:szCs w:val="15"/>
                <w:lang w:eastAsia="es-MX"/>
              </w:rPr>
            </w:pPr>
            <w:r w:rsidRPr="00CC742F">
              <w:rPr>
                <w:rFonts w:ascii="Montserrat" w:hAnsi="Montserrat"/>
                <w:sz w:val="15"/>
                <w:szCs w:val="15"/>
              </w:rPr>
              <w:t>219,2</w:t>
            </w:r>
            <w:r>
              <w:rPr>
                <w:rFonts w:ascii="Montserrat" w:hAnsi="Montserrat"/>
                <w:sz w:val="15"/>
                <w:szCs w:val="15"/>
              </w:rPr>
              <w:t>52</w:t>
            </w:r>
            <w:r w:rsidRPr="00CC742F">
              <w:rPr>
                <w:rFonts w:ascii="Montserrat" w:hAnsi="Montserrat"/>
                <w:sz w:val="15"/>
                <w:szCs w:val="15"/>
              </w:rPr>
              <w:t>,</w:t>
            </w:r>
            <w:r>
              <w:rPr>
                <w:rFonts w:ascii="Montserrat" w:hAnsi="Montserrat"/>
                <w:sz w:val="15"/>
                <w:szCs w:val="15"/>
              </w:rPr>
              <w:t>054,055</w:t>
            </w:r>
            <w:r w:rsidRPr="00CC742F">
              <w:rPr>
                <w:rFonts w:ascii="Montserrat" w:hAnsi="Montserrat"/>
                <w:sz w:val="15"/>
                <w:szCs w:val="15"/>
              </w:rPr>
              <w:t>.</w:t>
            </w:r>
            <w:r>
              <w:rPr>
                <w:rFonts w:ascii="Montserrat" w:hAnsi="Montserrat"/>
                <w:sz w:val="15"/>
                <w:szCs w:val="15"/>
              </w:rPr>
              <w:t>4</w:t>
            </w:r>
            <w:r w:rsidRPr="00CC742F">
              <w:rPr>
                <w:rFonts w:ascii="Montserrat" w:hAnsi="Montserrat"/>
                <w:sz w:val="15"/>
                <w:szCs w:val="15"/>
              </w:rPr>
              <w:t xml:space="preserve">            </w:t>
            </w:r>
          </w:p>
        </w:tc>
      </w:tr>
      <w:tr w:rsidR="000269DC" w:rsidRPr="0039371B" w14:paraId="1BA76247" w14:textId="77777777" w:rsidTr="009A4968">
        <w:tc>
          <w:tcPr>
            <w:tcW w:w="0" w:type="auto"/>
            <w:tcBorders>
              <w:top w:val="nil"/>
              <w:left w:val="nil"/>
              <w:bottom w:val="nil"/>
              <w:right w:val="nil"/>
            </w:tcBorders>
            <w:shd w:val="clear" w:color="auto" w:fill="F2F2F2"/>
            <w:vAlign w:val="bottom"/>
            <w:hideMark/>
          </w:tcPr>
          <w:p w14:paraId="52CDD578" w14:textId="77777777" w:rsidR="000269DC" w:rsidRPr="00CC742F" w:rsidRDefault="000269DC" w:rsidP="000269DC">
            <w:pPr>
              <w:spacing w:after="0" w:line="240" w:lineRule="auto"/>
              <w:jc w:val="both"/>
              <w:rPr>
                <w:rFonts w:ascii="Montserrat" w:eastAsia="Times New Roman" w:hAnsi="Montserrat"/>
                <w:color w:val="000000"/>
                <w:sz w:val="15"/>
                <w:szCs w:val="15"/>
                <w:lang w:eastAsia="es-MX"/>
              </w:rPr>
            </w:pPr>
            <w:r w:rsidRPr="00CC742F">
              <w:rPr>
                <w:rFonts w:ascii="Montserrat" w:eastAsia="Times New Roman" w:hAnsi="Montserrat"/>
                <w:color w:val="000000"/>
                <w:sz w:val="15"/>
                <w:szCs w:val="15"/>
                <w:lang w:eastAsia="es-MX"/>
              </w:rPr>
              <w:t xml:space="preserve">Instrumentos Financieros para Cobrar o Vender </w:t>
            </w:r>
          </w:p>
        </w:tc>
        <w:tc>
          <w:tcPr>
            <w:tcW w:w="0" w:type="auto"/>
            <w:tcBorders>
              <w:top w:val="nil"/>
              <w:left w:val="nil"/>
              <w:bottom w:val="nil"/>
              <w:right w:val="nil"/>
            </w:tcBorders>
            <w:shd w:val="clear" w:color="auto" w:fill="F2F2F2"/>
            <w:hideMark/>
          </w:tcPr>
          <w:p w14:paraId="3D8332D6" w14:textId="77777777" w:rsidR="000269DC" w:rsidRPr="000269DC" w:rsidRDefault="000269DC" w:rsidP="000269DC">
            <w:pPr>
              <w:spacing w:after="0" w:line="240" w:lineRule="exact"/>
              <w:jc w:val="right"/>
              <w:rPr>
                <w:rFonts w:ascii="Montserrat" w:hAnsi="Montserrat"/>
                <w:sz w:val="15"/>
                <w:szCs w:val="15"/>
              </w:rPr>
            </w:pPr>
            <w:r w:rsidRPr="000269DC">
              <w:rPr>
                <w:rFonts w:ascii="Montserrat" w:hAnsi="Montserrat"/>
                <w:sz w:val="15"/>
                <w:szCs w:val="15"/>
              </w:rPr>
              <w:t xml:space="preserve"> 99,493,528,175.</w:t>
            </w:r>
            <w:r>
              <w:rPr>
                <w:rFonts w:ascii="Montserrat" w:hAnsi="Montserrat"/>
                <w:sz w:val="15"/>
                <w:szCs w:val="15"/>
              </w:rPr>
              <w:t>4</w:t>
            </w:r>
            <w:r w:rsidRPr="000269DC">
              <w:rPr>
                <w:rFonts w:ascii="Montserrat" w:hAnsi="Montserrat"/>
                <w:sz w:val="15"/>
                <w:szCs w:val="15"/>
              </w:rPr>
              <w:t xml:space="preserve"> </w:t>
            </w:r>
          </w:p>
        </w:tc>
        <w:tc>
          <w:tcPr>
            <w:tcW w:w="0" w:type="auto"/>
            <w:tcBorders>
              <w:top w:val="nil"/>
              <w:left w:val="nil"/>
              <w:bottom w:val="nil"/>
              <w:right w:val="nil"/>
            </w:tcBorders>
            <w:shd w:val="clear" w:color="auto" w:fill="F2F2F2"/>
            <w:hideMark/>
          </w:tcPr>
          <w:p w14:paraId="6D421834" w14:textId="77777777" w:rsidR="000269DC" w:rsidRPr="00CC742F" w:rsidRDefault="000269DC" w:rsidP="000269DC">
            <w:pPr>
              <w:spacing w:after="0" w:line="240" w:lineRule="exact"/>
              <w:jc w:val="right"/>
              <w:rPr>
                <w:rFonts w:ascii="Montserrat" w:eastAsia="Times New Roman" w:hAnsi="Montserrat"/>
                <w:color w:val="000000"/>
                <w:sz w:val="15"/>
                <w:szCs w:val="15"/>
                <w:lang w:eastAsia="es-MX"/>
              </w:rPr>
            </w:pPr>
            <w:r w:rsidRPr="00CC742F">
              <w:rPr>
                <w:rFonts w:ascii="Montserrat" w:hAnsi="Montserrat"/>
                <w:sz w:val="15"/>
                <w:szCs w:val="15"/>
              </w:rPr>
              <w:t>106,886,877,90</w:t>
            </w:r>
            <w:r>
              <w:rPr>
                <w:rFonts w:ascii="Montserrat" w:hAnsi="Montserrat"/>
                <w:sz w:val="15"/>
                <w:szCs w:val="15"/>
              </w:rPr>
              <w:t>2</w:t>
            </w:r>
            <w:r w:rsidRPr="00CC742F">
              <w:rPr>
                <w:rFonts w:ascii="Montserrat" w:hAnsi="Montserrat"/>
                <w:sz w:val="15"/>
                <w:szCs w:val="15"/>
              </w:rPr>
              <w:t>.</w:t>
            </w:r>
            <w:r>
              <w:rPr>
                <w:rFonts w:ascii="Montserrat" w:hAnsi="Montserrat"/>
                <w:sz w:val="15"/>
                <w:szCs w:val="15"/>
              </w:rPr>
              <w:t>0</w:t>
            </w:r>
          </w:p>
        </w:tc>
      </w:tr>
      <w:tr w:rsidR="000269DC" w:rsidRPr="0039371B" w14:paraId="74F0D1DF" w14:textId="77777777" w:rsidTr="009A4968">
        <w:tc>
          <w:tcPr>
            <w:tcW w:w="0" w:type="auto"/>
            <w:tcBorders>
              <w:top w:val="nil"/>
              <w:left w:val="nil"/>
              <w:bottom w:val="single" w:sz="12" w:space="0" w:color="808080"/>
              <w:right w:val="nil"/>
            </w:tcBorders>
            <w:shd w:val="clear" w:color="auto" w:fill="F2F2F2"/>
            <w:vAlign w:val="bottom"/>
            <w:hideMark/>
          </w:tcPr>
          <w:p w14:paraId="7F71FA1B" w14:textId="77777777" w:rsidR="000269DC" w:rsidRPr="00CC742F" w:rsidRDefault="000269DC" w:rsidP="000269DC">
            <w:pPr>
              <w:spacing w:after="0" w:line="240" w:lineRule="auto"/>
              <w:jc w:val="both"/>
              <w:rPr>
                <w:rFonts w:ascii="Montserrat" w:eastAsia="Times New Roman" w:hAnsi="Montserrat"/>
                <w:b/>
                <w:color w:val="000000"/>
                <w:sz w:val="15"/>
                <w:szCs w:val="15"/>
                <w:lang w:eastAsia="es-MX"/>
              </w:rPr>
            </w:pPr>
            <w:r w:rsidRPr="00CC742F">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hideMark/>
          </w:tcPr>
          <w:p w14:paraId="5294E67A" w14:textId="77777777" w:rsidR="000269DC" w:rsidRPr="000269DC" w:rsidRDefault="000269DC" w:rsidP="000269DC">
            <w:pPr>
              <w:spacing w:after="0" w:line="240" w:lineRule="exact"/>
              <w:jc w:val="right"/>
              <w:rPr>
                <w:rFonts w:ascii="Montserrat" w:hAnsi="Montserrat"/>
                <w:b/>
                <w:bCs/>
                <w:sz w:val="15"/>
                <w:szCs w:val="15"/>
                <w:lang w:val="es-MX"/>
              </w:rPr>
            </w:pPr>
            <w:r w:rsidRPr="000269DC">
              <w:rPr>
                <w:rFonts w:ascii="Montserrat" w:hAnsi="Montserrat"/>
                <w:b/>
                <w:bCs/>
                <w:sz w:val="15"/>
                <w:szCs w:val="15"/>
              </w:rPr>
              <w:t>374,128,844,485.</w:t>
            </w:r>
            <w:r>
              <w:rPr>
                <w:rFonts w:ascii="Montserrat" w:hAnsi="Montserrat"/>
                <w:b/>
                <w:bCs/>
                <w:sz w:val="15"/>
                <w:szCs w:val="15"/>
              </w:rPr>
              <w:t>3</w:t>
            </w:r>
          </w:p>
        </w:tc>
        <w:tc>
          <w:tcPr>
            <w:tcW w:w="0" w:type="auto"/>
            <w:tcBorders>
              <w:top w:val="nil"/>
              <w:left w:val="nil"/>
              <w:bottom w:val="single" w:sz="12" w:space="0" w:color="808080"/>
              <w:right w:val="nil"/>
            </w:tcBorders>
            <w:shd w:val="clear" w:color="auto" w:fill="F2F2F2"/>
            <w:hideMark/>
          </w:tcPr>
          <w:p w14:paraId="355ABC26" w14:textId="77777777" w:rsidR="000269DC" w:rsidRPr="00CC742F" w:rsidRDefault="000269DC" w:rsidP="000269DC">
            <w:pPr>
              <w:spacing w:after="0" w:line="240" w:lineRule="exact"/>
              <w:jc w:val="right"/>
              <w:rPr>
                <w:rFonts w:ascii="Montserrat" w:eastAsia="Times New Roman" w:hAnsi="Montserrat"/>
                <w:b/>
                <w:bCs/>
                <w:color w:val="000000"/>
                <w:sz w:val="15"/>
                <w:szCs w:val="15"/>
                <w:lang w:eastAsia="es-MX"/>
              </w:rPr>
            </w:pPr>
            <w:r w:rsidRPr="00CC742F">
              <w:rPr>
                <w:rFonts w:ascii="Montserrat" w:hAnsi="Montserrat"/>
                <w:b/>
                <w:bCs/>
                <w:sz w:val="15"/>
                <w:szCs w:val="15"/>
              </w:rPr>
              <w:t>326,13</w:t>
            </w:r>
            <w:r>
              <w:rPr>
                <w:rFonts w:ascii="Montserrat" w:hAnsi="Montserrat"/>
                <w:b/>
                <w:bCs/>
                <w:sz w:val="15"/>
                <w:szCs w:val="15"/>
              </w:rPr>
              <w:t>8</w:t>
            </w:r>
            <w:r w:rsidRPr="00CC742F">
              <w:rPr>
                <w:rFonts w:ascii="Montserrat" w:hAnsi="Montserrat"/>
                <w:b/>
                <w:bCs/>
                <w:sz w:val="15"/>
                <w:szCs w:val="15"/>
              </w:rPr>
              <w:t>,</w:t>
            </w:r>
            <w:r>
              <w:rPr>
                <w:rFonts w:ascii="Montserrat" w:hAnsi="Montserrat"/>
                <w:b/>
                <w:bCs/>
                <w:sz w:val="15"/>
                <w:szCs w:val="15"/>
              </w:rPr>
              <w:t>931</w:t>
            </w:r>
            <w:r w:rsidRPr="00CC742F">
              <w:rPr>
                <w:rFonts w:ascii="Montserrat" w:hAnsi="Montserrat"/>
                <w:b/>
                <w:bCs/>
                <w:sz w:val="15"/>
                <w:szCs w:val="15"/>
              </w:rPr>
              <w:t>,</w:t>
            </w:r>
            <w:r>
              <w:rPr>
                <w:rFonts w:ascii="Montserrat" w:hAnsi="Montserrat"/>
                <w:b/>
                <w:bCs/>
                <w:sz w:val="15"/>
                <w:szCs w:val="15"/>
              </w:rPr>
              <w:t>957.4</w:t>
            </w:r>
          </w:p>
        </w:tc>
      </w:tr>
    </w:tbl>
    <w:p w14:paraId="55B05092" w14:textId="77777777" w:rsidR="00C42548" w:rsidRPr="0039371B" w:rsidRDefault="00C42548" w:rsidP="00C42548">
      <w:pPr>
        <w:pStyle w:val="TEXTONORMAL"/>
        <w:rPr>
          <w:highlight w:val="yellow"/>
          <w:lang w:val="es-MX"/>
        </w:rPr>
      </w:pPr>
    </w:p>
    <w:p w14:paraId="680FD4EB" w14:textId="77777777" w:rsidR="00C42548" w:rsidRPr="0039371B" w:rsidRDefault="00C42548" w:rsidP="00C42548">
      <w:pPr>
        <w:pStyle w:val="TEXTONORMAL"/>
        <w:rPr>
          <w:highlight w:val="yellow"/>
          <w:lang w:val="es-MX"/>
        </w:rPr>
      </w:pPr>
    </w:p>
    <w:p w14:paraId="42681A15" w14:textId="77777777" w:rsidR="00C42548" w:rsidRPr="0039371B" w:rsidRDefault="00C42548" w:rsidP="00C42548">
      <w:pPr>
        <w:pStyle w:val="TEXTONORMAL"/>
        <w:rPr>
          <w:highlight w:val="yellow"/>
          <w:lang w:val="es-MX"/>
        </w:rPr>
      </w:pPr>
    </w:p>
    <w:p w14:paraId="2EBD61E2" w14:textId="77777777" w:rsidR="004B611F" w:rsidRPr="007F5893" w:rsidRDefault="004B611F" w:rsidP="00C42548">
      <w:pPr>
        <w:pStyle w:val="TEXTONORMAL"/>
        <w:rPr>
          <w:lang w:val="es-MX"/>
        </w:rPr>
      </w:pPr>
    </w:p>
    <w:p w14:paraId="3260F52B" w14:textId="77777777" w:rsidR="004B611F" w:rsidRDefault="004B611F" w:rsidP="00C42548">
      <w:pPr>
        <w:pStyle w:val="TEXTONORMAL"/>
        <w:rPr>
          <w:lang w:val="es-MX"/>
        </w:rPr>
      </w:pPr>
      <w:r w:rsidRPr="007F5893">
        <w:rPr>
          <w:lang w:val="es-MX"/>
        </w:rPr>
        <w:t xml:space="preserve">*Para </w:t>
      </w:r>
      <w:r w:rsidR="0039371B" w:rsidRPr="007F5893">
        <w:rPr>
          <w:lang w:val="es-MX"/>
        </w:rPr>
        <w:t>la integración de cifras a septiembre</w:t>
      </w:r>
      <w:r w:rsidRPr="007F5893">
        <w:rPr>
          <w:lang w:val="es-MX"/>
        </w:rPr>
        <w:t xml:space="preserve"> de 2022 no se considera la Reserva para hacer frente a reclamaciones de SAR como parte de las reservas financieras</w:t>
      </w:r>
      <w:r w:rsidR="009A12D7" w:rsidRPr="007F5893">
        <w:rPr>
          <w:lang w:val="es-MX"/>
        </w:rPr>
        <w:t xml:space="preserve"> del Instituto, como lo establece el artículo 278 en la LSS.</w:t>
      </w:r>
    </w:p>
    <w:p w14:paraId="4CAA32D6" w14:textId="77777777" w:rsidR="003D2EF3" w:rsidRDefault="003D2EF3" w:rsidP="00C42548">
      <w:pPr>
        <w:pStyle w:val="TEXTONORMAL"/>
        <w:rPr>
          <w:lang w:val="es-MX"/>
        </w:rPr>
      </w:pPr>
    </w:p>
    <w:p w14:paraId="386D08C5" w14:textId="77777777" w:rsidR="003D2EF3" w:rsidRDefault="003D2EF3" w:rsidP="003D2EF3">
      <w:pPr>
        <w:pStyle w:val="TEXTONORMAL"/>
        <w:rPr>
          <w:lang w:val="es-MX"/>
        </w:rPr>
      </w:pPr>
      <w:r w:rsidRPr="00BE115F">
        <w:t xml:space="preserve">Al </w:t>
      </w:r>
      <w:r>
        <w:t>30 de septiembre de 2022 l</w:t>
      </w:r>
      <w:r w:rsidRPr="004B3AA5">
        <w:rPr>
          <w:lang w:val="es-MX"/>
        </w:rPr>
        <w:t>a posición de las inversiones de l</w:t>
      </w:r>
      <w:r>
        <w:rPr>
          <w:lang w:val="es-MX"/>
        </w:rPr>
        <w:t>o</w:t>
      </w:r>
      <w:r w:rsidRPr="004B3AA5">
        <w:rPr>
          <w:lang w:val="es-MX"/>
        </w:rPr>
        <w:t>s Recursos administrados a cuenta de Terceros se clasifica de la siguiente manera:</w:t>
      </w:r>
    </w:p>
    <w:p w14:paraId="49F63CEA" w14:textId="77777777" w:rsidR="003D2EF3" w:rsidRPr="002760AA" w:rsidRDefault="003D2EF3" w:rsidP="003D2EF3">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73"/>
        <w:gridCol w:w="1485"/>
      </w:tblGrid>
      <w:tr w:rsidR="003D2EF3" w:rsidRPr="00371F87" w14:paraId="1CC2043F" w14:textId="77777777" w:rsidTr="006B29AE">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068BC490" w14:textId="77777777" w:rsidR="003D2EF3" w:rsidRPr="005E0FCF" w:rsidRDefault="003D2EF3" w:rsidP="006B29AE">
            <w:pPr>
              <w:spacing w:after="0" w:line="240" w:lineRule="exact"/>
              <w:jc w:val="center"/>
              <w:rPr>
                <w:rFonts w:ascii="Montserrat" w:hAnsi="Montserrat"/>
                <w:b/>
                <w:color w:val="FFFFFF"/>
                <w:sz w:val="16"/>
                <w:szCs w:val="16"/>
              </w:rPr>
            </w:pPr>
            <w:r w:rsidRPr="005E0FCF">
              <w:rPr>
                <w:rFonts w:ascii="Montserrat" w:hAnsi="Montserrat"/>
                <w:b/>
                <w:color w:val="FFFFFF"/>
                <w:sz w:val="16"/>
                <w:szCs w:val="16"/>
              </w:rPr>
              <w:t>Concepto</w:t>
            </w:r>
          </w:p>
        </w:tc>
        <w:tc>
          <w:tcPr>
            <w:tcW w:w="0" w:type="auto"/>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3B007CD6" w14:textId="77777777" w:rsidR="003D2EF3" w:rsidRPr="00F62E75" w:rsidRDefault="003D2EF3" w:rsidP="006B29AE">
            <w:pPr>
              <w:spacing w:after="0" w:line="240" w:lineRule="exact"/>
              <w:jc w:val="center"/>
              <w:rPr>
                <w:rFonts w:ascii="Montserrat" w:hAnsi="Montserrat"/>
                <w:b/>
                <w:color w:val="FFFFFF"/>
                <w:sz w:val="16"/>
                <w:szCs w:val="16"/>
                <w:highlight w:val="green"/>
              </w:rPr>
            </w:pPr>
            <w:r w:rsidRPr="005E0FCF">
              <w:rPr>
                <w:rFonts w:ascii="Montserrat" w:hAnsi="Montserrat"/>
                <w:b/>
                <w:color w:val="FFFFFF"/>
                <w:sz w:val="16"/>
                <w:szCs w:val="16"/>
              </w:rPr>
              <w:t>Cifras en pesos</w:t>
            </w:r>
          </w:p>
        </w:tc>
      </w:tr>
      <w:tr w:rsidR="003D2EF3" w:rsidRPr="004B3AA5" w14:paraId="28936BC8" w14:textId="77777777" w:rsidTr="006B29AE">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5A29AAF2" w14:textId="77777777" w:rsidR="003D2EF3" w:rsidRPr="005E0FCF" w:rsidRDefault="003D2EF3" w:rsidP="006B29AE">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0B8FD963" w14:textId="77777777" w:rsidR="003D2EF3" w:rsidRPr="003D2EF3" w:rsidRDefault="003D2EF3" w:rsidP="006B29AE">
            <w:pPr>
              <w:spacing w:after="0" w:line="240" w:lineRule="exact"/>
              <w:jc w:val="center"/>
              <w:rPr>
                <w:rFonts w:ascii="Montserrat" w:hAnsi="Montserrat"/>
                <w:b/>
                <w:color w:val="FFFFFF"/>
                <w:sz w:val="16"/>
                <w:szCs w:val="16"/>
              </w:rPr>
            </w:pPr>
            <w:r w:rsidRPr="003D2EF3">
              <w:rPr>
                <w:rFonts w:ascii="Montserrat" w:hAnsi="Montserrat"/>
                <w:b/>
                <w:color w:val="FFFFFF"/>
                <w:sz w:val="16"/>
                <w:szCs w:val="16"/>
              </w:rPr>
              <w:t>2022</w:t>
            </w:r>
          </w:p>
        </w:tc>
      </w:tr>
      <w:tr w:rsidR="003D2EF3" w:rsidRPr="004B3AA5" w14:paraId="31091FE7" w14:textId="77777777" w:rsidTr="006B29AE">
        <w:tc>
          <w:tcPr>
            <w:tcW w:w="0" w:type="auto"/>
            <w:tcBorders>
              <w:top w:val="double" w:sz="12" w:space="0" w:color="808080"/>
              <w:left w:val="nil"/>
              <w:bottom w:val="nil"/>
              <w:right w:val="nil"/>
            </w:tcBorders>
            <w:shd w:val="clear" w:color="auto" w:fill="F2F2F2"/>
            <w:vAlign w:val="bottom"/>
            <w:hideMark/>
          </w:tcPr>
          <w:p w14:paraId="3A9A8FB4" w14:textId="77777777" w:rsidR="003D2EF3" w:rsidRPr="005E0FCF" w:rsidRDefault="003D2EF3" w:rsidP="006B29AE">
            <w:pPr>
              <w:spacing w:after="0" w:line="240" w:lineRule="auto"/>
              <w:jc w:val="both"/>
              <w:rPr>
                <w:rFonts w:ascii="Montserrat" w:eastAsia="Times New Roman" w:hAnsi="Montserrat"/>
                <w:color w:val="000000"/>
                <w:sz w:val="15"/>
                <w:szCs w:val="15"/>
                <w:lang w:eastAsia="es-MX"/>
              </w:rPr>
            </w:pPr>
            <w:r w:rsidRPr="005E0FCF">
              <w:rPr>
                <w:rFonts w:ascii="Montserrat" w:eastAsia="Times New Roman" w:hAnsi="Montserrat"/>
                <w:color w:val="000000"/>
                <w:sz w:val="15"/>
                <w:szCs w:val="15"/>
                <w:lang w:eastAsia="es-MX"/>
              </w:rPr>
              <w:t>Instrumentos Financieros para Cobrar Principal e Interés</w:t>
            </w:r>
          </w:p>
        </w:tc>
        <w:tc>
          <w:tcPr>
            <w:tcW w:w="0" w:type="auto"/>
            <w:tcBorders>
              <w:top w:val="double" w:sz="12" w:space="0" w:color="808080"/>
              <w:left w:val="nil"/>
              <w:bottom w:val="nil"/>
              <w:right w:val="nil"/>
            </w:tcBorders>
            <w:shd w:val="clear" w:color="auto" w:fill="F2F2F2"/>
            <w:hideMark/>
          </w:tcPr>
          <w:p w14:paraId="5687C122" w14:textId="77777777" w:rsidR="003D2EF3" w:rsidRPr="003D2EF3" w:rsidRDefault="003D2EF3" w:rsidP="006B29AE">
            <w:pPr>
              <w:spacing w:after="0" w:line="240" w:lineRule="exact"/>
              <w:jc w:val="right"/>
              <w:rPr>
                <w:rFonts w:ascii="Montserrat" w:hAnsi="Montserrat"/>
                <w:sz w:val="15"/>
                <w:szCs w:val="15"/>
              </w:rPr>
            </w:pPr>
            <w:r w:rsidRPr="003D2EF3">
              <w:rPr>
                <w:rFonts w:ascii="Montserrat" w:hAnsi="Montserrat"/>
                <w:sz w:val="15"/>
                <w:szCs w:val="15"/>
              </w:rPr>
              <w:t xml:space="preserve"> 5,133,696,713.0 </w:t>
            </w:r>
          </w:p>
        </w:tc>
      </w:tr>
      <w:tr w:rsidR="003D2EF3" w:rsidRPr="004B3AA5" w14:paraId="1015ACC7" w14:textId="77777777" w:rsidTr="006B29AE">
        <w:tc>
          <w:tcPr>
            <w:tcW w:w="0" w:type="auto"/>
            <w:tcBorders>
              <w:top w:val="nil"/>
              <w:left w:val="nil"/>
              <w:bottom w:val="nil"/>
              <w:right w:val="nil"/>
            </w:tcBorders>
            <w:shd w:val="clear" w:color="auto" w:fill="F2F2F2"/>
            <w:vAlign w:val="bottom"/>
            <w:hideMark/>
          </w:tcPr>
          <w:p w14:paraId="46199FA2" w14:textId="77777777" w:rsidR="003D2EF3" w:rsidRPr="005E0FCF" w:rsidRDefault="003D2EF3" w:rsidP="006B29AE">
            <w:pPr>
              <w:spacing w:after="0" w:line="240" w:lineRule="auto"/>
              <w:jc w:val="both"/>
              <w:rPr>
                <w:rFonts w:ascii="Montserrat" w:eastAsia="Times New Roman" w:hAnsi="Montserrat"/>
                <w:color w:val="000000"/>
                <w:sz w:val="15"/>
                <w:szCs w:val="15"/>
                <w:lang w:eastAsia="es-MX"/>
              </w:rPr>
            </w:pPr>
            <w:r w:rsidRPr="005E0FCF">
              <w:rPr>
                <w:rFonts w:ascii="Montserrat" w:eastAsia="Times New Roman" w:hAnsi="Montserrat"/>
                <w:color w:val="000000"/>
                <w:sz w:val="15"/>
                <w:szCs w:val="15"/>
                <w:lang w:eastAsia="es-MX"/>
              </w:rPr>
              <w:t xml:space="preserve">Instrumentos Financieros para Cobrar o Vender </w:t>
            </w:r>
          </w:p>
        </w:tc>
        <w:tc>
          <w:tcPr>
            <w:tcW w:w="0" w:type="auto"/>
            <w:tcBorders>
              <w:top w:val="nil"/>
              <w:left w:val="nil"/>
              <w:bottom w:val="nil"/>
              <w:right w:val="nil"/>
            </w:tcBorders>
            <w:shd w:val="clear" w:color="auto" w:fill="F2F2F2"/>
            <w:hideMark/>
          </w:tcPr>
          <w:p w14:paraId="600DE4F6" w14:textId="77777777" w:rsidR="003D2EF3" w:rsidRPr="003D2EF3" w:rsidRDefault="003D2EF3" w:rsidP="006B29AE">
            <w:pPr>
              <w:spacing w:after="0" w:line="240" w:lineRule="exact"/>
              <w:jc w:val="right"/>
              <w:rPr>
                <w:rFonts w:ascii="Montserrat" w:hAnsi="Montserrat"/>
                <w:sz w:val="15"/>
                <w:szCs w:val="15"/>
              </w:rPr>
            </w:pPr>
            <w:r w:rsidRPr="003D2EF3">
              <w:rPr>
                <w:rFonts w:ascii="Montserrat" w:hAnsi="Montserrat"/>
                <w:sz w:val="15"/>
                <w:szCs w:val="15"/>
              </w:rPr>
              <w:t xml:space="preserve"> 413,811,567.</w:t>
            </w:r>
            <w:r>
              <w:rPr>
                <w:rFonts w:ascii="Montserrat" w:hAnsi="Montserrat"/>
                <w:sz w:val="15"/>
                <w:szCs w:val="15"/>
              </w:rPr>
              <w:t>8</w:t>
            </w:r>
            <w:r w:rsidRPr="003D2EF3">
              <w:rPr>
                <w:rFonts w:ascii="Montserrat" w:hAnsi="Montserrat"/>
                <w:sz w:val="15"/>
                <w:szCs w:val="15"/>
              </w:rPr>
              <w:t xml:space="preserve"> </w:t>
            </w:r>
          </w:p>
        </w:tc>
      </w:tr>
      <w:tr w:rsidR="003D2EF3" w:rsidRPr="004B3AA5" w14:paraId="7995B679" w14:textId="77777777" w:rsidTr="006B29AE">
        <w:tc>
          <w:tcPr>
            <w:tcW w:w="0" w:type="auto"/>
            <w:tcBorders>
              <w:top w:val="nil"/>
              <w:left w:val="nil"/>
              <w:bottom w:val="single" w:sz="12" w:space="0" w:color="808080"/>
              <w:right w:val="nil"/>
            </w:tcBorders>
            <w:shd w:val="clear" w:color="auto" w:fill="F2F2F2"/>
            <w:vAlign w:val="bottom"/>
            <w:hideMark/>
          </w:tcPr>
          <w:p w14:paraId="2A9207FD" w14:textId="77777777" w:rsidR="003D2EF3" w:rsidRPr="005E0FCF" w:rsidRDefault="003D2EF3" w:rsidP="006B29AE">
            <w:pPr>
              <w:spacing w:after="0" w:line="240" w:lineRule="auto"/>
              <w:jc w:val="both"/>
              <w:rPr>
                <w:rFonts w:ascii="Montserrat" w:eastAsia="Times New Roman" w:hAnsi="Montserrat"/>
                <w:b/>
                <w:color w:val="000000"/>
                <w:sz w:val="15"/>
                <w:szCs w:val="15"/>
                <w:lang w:eastAsia="es-MX"/>
              </w:rPr>
            </w:pPr>
            <w:r w:rsidRPr="005E0FCF">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hideMark/>
          </w:tcPr>
          <w:p w14:paraId="3F494981" w14:textId="77777777" w:rsidR="003D2EF3" w:rsidRPr="003D2EF3" w:rsidRDefault="003D2EF3" w:rsidP="006B29AE">
            <w:pPr>
              <w:spacing w:after="0" w:line="240" w:lineRule="exact"/>
              <w:jc w:val="right"/>
              <w:rPr>
                <w:rFonts w:ascii="Montserrat" w:hAnsi="Montserrat"/>
                <w:b/>
                <w:bCs/>
                <w:sz w:val="15"/>
                <w:szCs w:val="15"/>
                <w:lang w:val="es-MX"/>
              </w:rPr>
            </w:pPr>
            <w:r w:rsidRPr="003D2EF3">
              <w:rPr>
                <w:rFonts w:ascii="Montserrat" w:hAnsi="Montserrat"/>
                <w:sz w:val="15"/>
                <w:szCs w:val="15"/>
              </w:rPr>
              <w:t xml:space="preserve"> </w:t>
            </w:r>
            <w:r w:rsidRPr="003D2EF3">
              <w:rPr>
                <w:rFonts w:ascii="Montserrat" w:hAnsi="Montserrat"/>
                <w:b/>
                <w:bCs/>
                <w:sz w:val="15"/>
                <w:szCs w:val="15"/>
              </w:rPr>
              <w:t>5,547,508,280.</w:t>
            </w:r>
            <w:r>
              <w:rPr>
                <w:rFonts w:ascii="Montserrat" w:hAnsi="Montserrat"/>
                <w:b/>
                <w:bCs/>
                <w:sz w:val="15"/>
                <w:szCs w:val="15"/>
              </w:rPr>
              <w:t>8</w:t>
            </w:r>
            <w:r w:rsidRPr="003D2EF3">
              <w:rPr>
                <w:rFonts w:ascii="Montserrat" w:hAnsi="Montserrat"/>
                <w:b/>
                <w:bCs/>
                <w:sz w:val="15"/>
                <w:szCs w:val="15"/>
              </w:rPr>
              <w:t xml:space="preserve"> </w:t>
            </w:r>
          </w:p>
        </w:tc>
      </w:tr>
    </w:tbl>
    <w:p w14:paraId="7F862D46" w14:textId="77777777" w:rsidR="003D2EF3" w:rsidRDefault="003D2EF3" w:rsidP="003D2EF3">
      <w:pPr>
        <w:pStyle w:val="TEXTONORMAL"/>
        <w:rPr>
          <w:lang w:val="es-MX"/>
        </w:rPr>
      </w:pPr>
    </w:p>
    <w:p w14:paraId="5983D73B" w14:textId="77777777" w:rsidR="003D2EF3" w:rsidRDefault="003D2EF3" w:rsidP="003D2EF3">
      <w:pPr>
        <w:pStyle w:val="TEXTONORMAL"/>
        <w:rPr>
          <w:lang w:val="es-MX"/>
        </w:rPr>
      </w:pPr>
    </w:p>
    <w:p w14:paraId="31E4D591" w14:textId="77777777" w:rsidR="003D2EF3" w:rsidRDefault="003D2EF3" w:rsidP="003D2EF3">
      <w:pPr>
        <w:pStyle w:val="TEXTONORMAL"/>
        <w:rPr>
          <w:lang w:val="es-MX"/>
        </w:rPr>
      </w:pPr>
    </w:p>
    <w:p w14:paraId="32E1DB11" w14:textId="77777777" w:rsidR="003D2EF3" w:rsidRDefault="003D2EF3" w:rsidP="00C42548">
      <w:pPr>
        <w:pStyle w:val="TEXTONORMAL"/>
        <w:rPr>
          <w:lang w:val="es-MX"/>
        </w:rPr>
      </w:pPr>
    </w:p>
    <w:p w14:paraId="1D9DE848" w14:textId="77777777" w:rsidR="004B611F" w:rsidRPr="0039371B" w:rsidRDefault="004B611F" w:rsidP="00C42548">
      <w:pPr>
        <w:pStyle w:val="TEXTONORMAL"/>
        <w:rPr>
          <w:highlight w:val="yellow"/>
          <w:lang w:val="es-MX"/>
        </w:rPr>
      </w:pPr>
    </w:p>
    <w:p w14:paraId="4DE4C21C" w14:textId="77777777" w:rsidR="00C42548" w:rsidRPr="00EE2ED5" w:rsidRDefault="00EE2ED5" w:rsidP="009D5C48">
      <w:pPr>
        <w:pStyle w:val="TEXTONORMAL"/>
        <w:rPr>
          <w:lang w:val="es-MX"/>
        </w:rPr>
      </w:pPr>
      <w:bookmarkStart w:id="0" w:name="_Hlk116985563"/>
      <w:r w:rsidRPr="00EE2ED5">
        <w:rPr>
          <w:lang w:val="es-MX"/>
        </w:rPr>
        <w:t>Al 30 de septiembre de 2022 la minusvalía neta acumulada no realizada de los instrumentos financieros para cobrar o vender de las Reservas y el Fondo Laboral ascendió a -11,644,913,678.4 pesos. Al 31 de diciembre de 2021 la plusvalía neta acumulada no realizada ascendió a 4,236,916,052.7 pesos</w:t>
      </w:r>
      <w:r>
        <w:rPr>
          <w:lang w:val="es-MX"/>
        </w:rPr>
        <w:t>.</w:t>
      </w: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503"/>
        <w:gridCol w:w="1587"/>
        <w:gridCol w:w="1588"/>
      </w:tblGrid>
      <w:tr w:rsidR="00C42548" w:rsidRPr="001F2C9E" w14:paraId="778EEE3B" w14:textId="77777777" w:rsidTr="009A4968">
        <w:tc>
          <w:tcPr>
            <w:tcW w:w="4503"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BF78F9A" w14:textId="77777777" w:rsidR="00C42548" w:rsidRPr="001F2C9E" w:rsidRDefault="00C42548" w:rsidP="009A4968">
            <w:pPr>
              <w:spacing w:after="0" w:line="240" w:lineRule="exact"/>
              <w:jc w:val="center"/>
              <w:rPr>
                <w:rFonts w:ascii="Montserrat" w:hAnsi="Montserrat"/>
                <w:b/>
                <w:color w:val="FFFFFF"/>
                <w:sz w:val="16"/>
                <w:szCs w:val="16"/>
              </w:rPr>
            </w:pPr>
            <w:r w:rsidRPr="001F2C9E">
              <w:rPr>
                <w:rFonts w:ascii="Montserrat" w:hAnsi="Montserrat"/>
                <w:b/>
                <w:color w:val="FFFFFF"/>
                <w:sz w:val="16"/>
                <w:szCs w:val="16"/>
              </w:rPr>
              <w:t>Concepto</w:t>
            </w:r>
          </w:p>
        </w:tc>
        <w:tc>
          <w:tcPr>
            <w:tcW w:w="3175"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434CE235" w14:textId="77777777" w:rsidR="00C42548" w:rsidRPr="001F2C9E" w:rsidRDefault="00C42548" w:rsidP="009A4968">
            <w:pPr>
              <w:spacing w:after="0" w:line="240" w:lineRule="exact"/>
              <w:jc w:val="center"/>
              <w:rPr>
                <w:rFonts w:ascii="Montserrat" w:hAnsi="Montserrat"/>
                <w:b/>
                <w:color w:val="FFFFFF"/>
                <w:sz w:val="16"/>
                <w:szCs w:val="16"/>
              </w:rPr>
            </w:pPr>
            <w:r w:rsidRPr="001F2C9E">
              <w:rPr>
                <w:rFonts w:ascii="Montserrat" w:hAnsi="Montserrat"/>
                <w:b/>
                <w:color w:val="FFFFFF"/>
                <w:sz w:val="16"/>
                <w:szCs w:val="16"/>
              </w:rPr>
              <w:t>Cifras en pesos</w:t>
            </w:r>
          </w:p>
        </w:tc>
      </w:tr>
      <w:tr w:rsidR="00C42548" w:rsidRPr="001F2C9E" w14:paraId="51D0A24F" w14:textId="77777777" w:rsidTr="009A4968">
        <w:tc>
          <w:tcPr>
            <w:tcW w:w="4503"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41564B9D" w14:textId="77777777" w:rsidR="00C42548" w:rsidRPr="001F2C9E" w:rsidRDefault="00C42548" w:rsidP="009A4968">
            <w:pPr>
              <w:spacing w:after="0" w:line="240" w:lineRule="auto"/>
              <w:rPr>
                <w:rFonts w:ascii="Montserrat" w:hAnsi="Montserrat"/>
                <w:b/>
                <w:color w:val="FFFFFF"/>
                <w:sz w:val="16"/>
                <w:szCs w:val="16"/>
              </w:rPr>
            </w:pPr>
          </w:p>
        </w:tc>
        <w:tc>
          <w:tcPr>
            <w:tcW w:w="158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69F9B61" w14:textId="77777777" w:rsidR="00C42548" w:rsidRPr="001F2C9E" w:rsidRDefault="00C42548" w:rsidP="009A4968">
            <w:pPr>
              <w:spacing w:after="0" w:line="240" w:lineRule="exact"/>
              <w:jc w:val="center"/>
              <w:rPr>
                <w:rFonts w:ascii="Montserrat" w:hAnsi="Montserrat"/>
                <w:b/>
                <w:color w:val="FFFFFF"/>
                <w:sz w:val="16"/>
                <w:szCs w:val="16"/>
              </w:rPr>
            </w:pPr>
            <w:r w:rsidRPr="001F2C9E">
              <w:rPr>
                <w:rFonts w:ascii="Montserrat" w:hAnsi="Montserrat"/>
                <w:b/>
                <w:color w:val="FFFFFF"/>
                <w:sz w:val="16"/>
                <w:szCs w:val="16"/>
              </w:rPr>
              <w:t>2022</w:t>
            </w:r>
          </w:p>
        </w:tc>
        <w:tc>
          <w:tcPr>
            <w:tcW w:w="1588"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5418ADCE" w14:textId="77777777" w:rsidR="00C42548" w:rsidRPr="001F2C9E" w:rsidRDefault="00C42548" w:rsidP="009A4968">
            <w:pPr>
              <w:spacing w:after="0" w:line="240" w:lineRule="exact"/>
              <w:jc w:val="center"/>
              <w:rPr>
                <w:rFonts w:ascii="Montserrat" w:hAnsi="Montserrat"/>
                <w:b/>
                <w:color w:val="FFFFFF"/>
                <w:sz w:val="16"/>
                <w:szCs w:val="16"/>
              </w:rPr>
            </w:pPr>
            <w:r w:rsidRPr="001F2C9E">
              <w:rPr>
                <w:rFonts w:ascii="Montserrat" w:hAnsi="Montserrat"/>
                <w:b/>
                <w:color w:val="FFFFFF"/>
                <w:sz w:val="16"/>
                <w:szCs w:val="16"/>
              </w:rPr>
              <w:t>2021</w:t>
            </w:r>
          </w:p>
        </w:tc>
      </w:tr>
      <w:tr w:rsidR="001F2C9E" w:rsidRPr="001F2C9E" w14:paraId="59D29BDA" w14:textId="77777777" w:rsidTr="009A4968">
        <w:tc>
          <w:tcPr>
            <w:tcW w:w="4503" w:type="dxa"/>
            <w:tcBorders>
              <w:top w:val="double" w:sz="12" w:space="0" w:color="808080"/>
              <w:left w:val="nil"/>
              <w:bottom w:val="nil"/>
              <w:right w:val="nil"/>
            </w:tcBorders>
            <w:shd w:val="clear" w:color="auto" w:fill="F2F2F2"/>
          </w:tcPr>
          <w:p w14:paraId="4BEF8ECF"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hAnsi="Montserrat"/>
                <w:sz w:val="15"/>
                <w:szCs w:val="15"/>
              </w:rPr>
              <w:t>Cobertura para Gastos Médicos de Pensionados</w:t>
            </w:r>
          </w:p>
        </w:tc>
        <w:tc>
          <w:tcPr>
            <w:tcW w:w="1587" w:type="dxa"/>
            <w:tcBorders>
              <w:top w:val="double" w:sz="12" w:space="0" w:color="808080"/>
              <w:left w:val="nil"/>
              <w:bottom w:val="nil"/>
              <w:right w:val="nil"/>
            </w:tcBorders>
            <w:shd w:val="clear" w:color="auto" w:fill="F2F2F2"/>
          </w:tcPr>
          <w:p w14:paraId="40467A6F" w14:textId="77777777" w:rsidR="001F2C9E" w:rsidRPr="001F2C9E" w:rsidRDefault="001F2C9E" w:rsidP="001F2C9E">
            <w:pPr>
              <w:spacing w:after="0" w:line="240" w:lineRule="exact"/>
              <w:jc w:val="right"/>
              <w:rPr>
                <w:rFonts w:ascii="Montserrat" w:hAnsi="Montserrat"/>
                <w:sz w:val="15"/>
                <w:szCs w:val="15"/>
              </w:rPr>
            </w:pPr>
            <w:r w:rsidRPr="001F2C9E">
              <w:rPr>
                <w:rFonts w:ascii="Montserrat" w:hAnsi="Montserrat"/>
                <w:sz w:val="15"/>
                <w:szCs w:val="15"/>
              </w:rPr>
              <w:t>-597,080,251.</w:t>
            </w:r>
            <w:r w:rsidR="0043513B">
              <w:rPr>
                <w:rFonts w:ascii="Montserrat" w:hAnsi="Montserrat"/>
                <w:sz w:val="15"/>
                <w:szCs w:val="15"/>
              </w:rPr>
              <w:t>8</w:t>
            </w:r>
            <w:r w:rsidRPr="001F2C9E">
              <w:rPr>
                <w:rFonts w:ascii="Montserrat" w:hAnsi="Montserrat"/>
                <w:sz w:val="15"/>
                <w:szCs w:val="15"/>
              </w:rPr>
              <w:t xml:space="preserve"> </w:t>
            </w:r>
          </w:p>
        </w:tc>
        <w:tc>
          <w:tcPr>
            <w:tcW w:w="1588" w:type="dxa"/>
            <w:tcBorders>
              <w:top w:val="double" w:sz="12" w:space="0" w:color="808080"/>
              <w:left w:val="nil"/>
              <w:bottom w:val="nil"/>
              <w:right w:val="nil"/>
            </w:tcBorders>
            <w:shd w:val="clear" w:color="auto" w:fill="F2F2F2"/>
          </w:tcPr>
          <w:p w14:paraId="6AD3C8FE" w14:textId="77777777" w:rsidR="001F2C9E" w:rsidRPr="001F2C9E" w:rsidRDefault="001F2C9E" w:rsidP="001F2C9E">
            <w:pPr>
              <w:spacing w:after="0" w:line="240" w:lineRule="exact"/>
              <w:jc w:val="right"/>
              <w:rPr>
                <w:rFonts w:ascii="Montserrat" w:hAnsi="Montserrat"/>
                <w:sz w:val="15"/>
                <w:szCs w:val="15"/>
              </w:rPr>
            </w:pPr>
            <w:r w:rsidRPr="001F2C9E">
              <w:rPr>
                <w:rFonts w:ascii="Montserrat" w:hAnsi="Montserrat"/>
                <w:sz w:val="15"/>
                <w:szCs w:val="15"/>
              </w:rPr>
              <w:t xml:space="preserve">-10,017,091.5 </w:t>
            </w:r>
          </w:p>
        </w:tc>
      </w:tr>
      <w:tr w:rsidR="001F2C9E" w:rsidRPr="001F2C9E" w14:paraId="1920F18C" w14:textId="77777777" w:rsidTr="009A4968">
        <w:tc>
          <w:tcPr>
            <w:tcW w:w="4503" w:type="dxa"/>
            <w:tcBorders>
              <w:top w:val="nil"/>
              <w:left w:val="nil"/>
              <w:bottom w:val="nil"/>
              <w:right w:val="nil"/>
            </w:tcBorders>
            <w:shd w:val="clear" w:color="auto" w:fill="F2F2F2"/>
            <w:vAlign w:val="center"/>
          </w:tcPr>
          <w:p w14:paraId="7FB1E377"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 xml:space="preserve">Reserva para Seguro de Enfermedad y Maternidad </w:t>
            </w:r>
          </w:p>
        </w:tc>
        <w:tc>
          <w:tcPr>
            <w:tcW w:w="1587" w:type="dxa"/>
            <w:tcBorders>
              <w:top w:val="nil"/>
              <w:left w:val="nil"/>
              <w:bottom w:val="nil"/>
              <w:right w:val="nil"/>
            </w:tcBorders>
            <w:shd w:val="clear" w:color="auto" w:fill="F2F2F2"/>
          </w:tcPr>
          <w:p w14:paraId="6670544C" w14:textId="77777777" w:rsidR="001F2C9E" w:rsidRPr="001F2C9E" w:rsidRDefault="001F2C9E" w:rsidP="001F2C9E">
            <w:pPr>
              <w:spacing w:after="0" w:line="240" w:lineRule="exact"/>
              <w:jc w:val="right"/>
              <w:rPr>
                <w:rFonts w:ascii="Montserrat" w:hAnsi="Montserrat"/>
                <w:sz w:val="15"/>
                <w:szCs w:val="15"/>
              </w:rPr>
            </w:pPr>
            <w:r w:rsidRPr="001F2C9E">
              <w:rPr>
                <w:rFonts w:ascii="Montserrat" w:hAnsi="Montserrat"/>
                <w:sz w:val="15"/>
                <w:szCs w:val="15"/>
              </w:rPr>
              <w:t xml:space="preserve">-5,368,248,898.3 </w:t>
            </w:r>
          </w:p>
        </w:tc>
        <w:tc>
          <w:tcPr>
            <w:tcW w:w="1588" w:type="dxa"/>
            <w:tcBorders>
              <w:top w:val="nil"/>
              <w:left w:val="nil"/>
              <w:bottom w:val="nil"/>
              <w:right w:val="nil"/>
            </w:tcBorders>
            <w:shd w:val="clear" w:color="auto" w:fill="F2F2F2"/>
          </w:tcPr>
          <w:p w14:paraId="7E5EE26A" w14:textId="77777777" w:rsidR="001F2C9E" w:rsidRPr="001F2C9E" w:rsidRDefault="001F2C9E" w:rsidP="001F2C9E">
            <w:pPr>
              <w:spacing w:after="0" w:line="240" w:lineRule="exact"/>
              <w:jc w:val="right"/>
              <w:rPr>
                <w:rFonts w:ascii="Montserrat" w:hAnsi="Montserrat"/>
                <w:sz w:val="15"/>
                <w:szCs w:val="15"/>
              </w:rPr>
            </w:pPr>
            <w:r w:rsidRPr="001F2C9E">
              <w:rPr>
                <w:rFonts w:ascii="Montserrat" w:hAnsi="Montserrat"/>
                <w:sz w:val="15"/>
                <w:szCs w:val="15"/>
              </w:rPr>
              <w:t xml:space="preserve">-292,540,348.3 </w:t>
            </w:r>
          </w:p>
        </w:tc>
      </w:tr>
      <w:tr w:rsidR="001F2C9E" w:rsidRPr="001F2C9E" w14:paraId="16AB1FB6" w14:textId="77777777" w:rsidTr="009A4968">
        <w:tc>
          <w:tcPr>
            <w:tcW w:w="4503" w:type="dxa"/>
            <w:tcBorders>
              <w:top w:val="nil"/>
              <w:left w:val="nil"/>
              <w:bottom w:val="nil"/>
              <w:right w:val="nil"/>
            </w:tcBorders>
            <w:shd w:val="clear" w:color="auto" w:fill="F2F2F2"/>
            <w:vAlign w:val="center"/>
          </w:tcPr>
          <w:p w14:paraId="1FDF5736"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Reserva para Seguro de Invalidez y Vida</w:t>
            </w:r>
          </w:p>
        </w:tc>
        <w:tc>
          <w:tcPr>
            <w:tcW w:w="1587" w:type="dxa"/>
            <w:tcBorders>
              <w:top w:val="nil"/>
              <w:left w:val="nil"/>
              <w:bottom w:val="nil"/>
              <w:right w:val="nil"/>
            </w:tcBorders>
            <w:shd w:val="clear" w:color="auto" w:fill="F2F2F2"/>
          </w:tcPr>
          <w:p w14:paraId="562173CE"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hAnsi="Montserrat"/>
                <w:sz w:val="15"/>
                <w:szCs w:val="15"/>
              </w:rPr>
              <w:t xml:space="preserve">-292,073,160.8 </w:t>
            </w:r>
          </w:p>
        </w:tc>
        <w:tc>
          <w:tcPr>
            <w:tcW w:w="1588" w:type="dxa"/>
            <w:tcBorders>
              <w:top w:val="nil"/>
              <w:left w:val="nil"/>
              <w:bottom w:val="nil"/>
              <w:right w:val="nil"/>
            </w:tcBorders>
            <w:shd w:val="clear" w:color="auto" w:fill="F2F2F2"/>
          </w:tcPr>
          <w:p w14:paraId="5C6480B9"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hAnsi="Montserrat"/>
                <w:sz w:val="15"/>
                <w:szCs w:val="15"/>
              </w:rPr>
              <w:t xml:space="preserve">-2,820,241.5 </w:t>
            </w:r>
          </w:p>
        </w:tc>
      </w:tr>
      <w:tr w:rsidR="001F2C9E" w:rsidRPr="001F2C9E" w14:paraId="5E56DCDA" w14:textId="77777777" w:rsidTr="009A4968">
        <w:tc>
          <w:tcPr>
            <w:tcW w:w="4503" w:type="dxa"/>
            <w:tcBorders>
              <w:top w:val="nil"/>
              <w:left w:val="nil"/>
              <w:bottom w:val="nil"/>
              <w:right w:val="nil"/>
            </w:tcBorders>
            <w:shd w:val="clear" w:color="auto" w:fill="F2F2F2"/>
            <w:vAlign w:val="center"/>
          </w:tcPr>
          <w:p w14:paraId="3DEC4F2D"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Reserva para Seguro de Riesgo de Trabajo</w:t>
            </w:r>
          </w:p>
        </w:tc>
        <w:tc>
          <w:tcPr>
            <w:tcW w:w="1587" w:type="dxa"/>
            <w:tcBorders>
              <w:top w:val="nil"/>
              <w:left w:val="nil"/>
              <w:bottom w:val="nil"/>
              <w:right w:val="nil"/>
            </w:tcBorders>
            <w:shd w:val="clear" w:color="auto" w:fill="F2F2F2"/>
          </w:tcPr>
          <w:p w14:paraId="2DA644D2"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hAnsi="Montserrat"/>
                <w:sz w:val="15"/>
                <w:szCs w:val="15"/>
              </w:rPr>
              <w:t xml:space="preserve">-221,043,738.2 </w:t>
            </w:r>
          </w:p>
        </w:tc>
        <w:tc>
          <w:tcPr>
            <w:tcW w:w="1588" w:type="dxa"/>
            <w:tcBorders>
              <w:top w:val="nil"/>
              <w:left w:val="nil"/>
              <w:bottom w:val="nil"/>
              <w:right w:val="nil"/>
            </w:tcBorders>
            <w:shd w:val="clear" w:color="auto" w:fill="F2F2F2"/>
          </w:tcPr>
          <w:p w14:paraId="5EAAED1A"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hAnsi="Montserrat"/>
                <w:sz w:val="15"/>
                <w:szCs w:val="15"/>
              </w:rPr>
              <w:t>-2,138,476.</w:t>
            </w:r>
            <w:r w:rsidR="004E7E2C">
              <w:rPr>
                <w:rFonts w:ascii="Montserrat" w:hAnsi="Montserrat"/>
                <w:sz w:val="15"/>
                <w:szCs w:val="15"/>
              </w:rPr>
              <w:t>8</w:t>
            </w:r>
            <w:r w:rsidRPr="001F2C9E">
              <w:rPr>
                <w:rFonts w:ascii="Montserrat" w:hAnsi="Montserrat"/>
                <w:sz w:val="15"/>
                <w:szCs w:val="15"/>
              </w:rPr>
              <w:t xml:space="preserve"> </w:t>
            </w:r>
          </w:p>
        </w:tc>
      </w:tr>
      <w:tr w:rsidR="001F2C9E" w:rsidRPr="001F2C9E" w14:paraId="303392CE" w14:textId="77777777" w:rsidTr="009A4968">
        <w:tc>
          <w:tcPr>
            <w:tcW w:w="4503" w:type="dxa"/>
            <w:tcBorders>
              <w:top w:val="nil"/>
              <w:left w:val="nil"/>
              <w:bottom w:val="nil"/>
              <w:right w:val="nil"/>
            </w:tcBorders>
            <w:shd w:val="clear" w:color="auto" w:fill="F2F2F2"/>
            <w:vAlign w:val="center"/>
          </w:tcPr>
          <w:p w14:paraId="4563924D"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Retenciones para Jubilaciones y Pensiones Subcuenta 1</w:t>
            </w:r>
          </w:p>
        </w:tc>
        <w:tc>
          <w:tcPr>
            <w:tcW w:w="1587" w:type="dxa"/>
            <w:tcBorders>
              <w:top w:val="nil"/>
              <w:left w:val="nil"/>
              <w:bottom w:val="nil"/>
              <w:right w:val="nil"/>
            </w:tcBorders>
            <w:shd w:val="clear" w:color="auto" w:fill="F2F2F2"/>
          </w:tcPr>
          <w:p w14:paraId="17F07E86"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hAnsi="Montserrat"/>
                <w:sz w:val="15"/>
                <w:szCs w:val="15"/>
              </w:rPr>
              <w:t xml:space="preserve">-26,292,756.6 </w:t>
            </w:r>
          </w:p>
        </w:tc>
        <w:tc>
          <w:tcPr>
            <w:tcW w:w="1588" w:type="dxa"/>
            <w:tcBorders>
              <w:top w:val="nil"/>
              <w:left w:val="nil"/>
              <w:bottom w:val="nil"/>
              <w:right w:val="nil"/>
            </w:tcBorders>
            <w:shd w:val="clear" w:color="auto" w:fill="F2F2F2"/>
            <w:vAlign w:val="bottom"/>
          </w:tcPr>
          <w:p w14:paraId="00329966"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-260,476.</w:t>
            </w:r>
            <w:r w:rsidR="004E7E2C">
              <w:rPr>
                <w:rFonts w:ascii="Montserrat" w:eastAsia="Times New Roman" w:hAnsi="Montserrat"/>
                <w:color w:val="000000"/>
                <w:sz w:val="15"/>
                <w:szCs w:val="15"/>
                <w:lang w:eastAsia="es-MX"/>
              </w:rPr>
              <w:t>4</w:t>
            </w:r>
          </w:p>
        </w:tc>
      </w:tr>
      <w:tr w:rsidR="001F2C9E" w:rsidRPr="001F2C9E" w14:paraId="14798F03" w14:textId="77777777" w:rsidTr="009A4968">
        <w:tc>
          <w:tcPr>
            <w:tcW w:w="4503" w:type="dxa"/>
            <w:tcBorders>
              <w:top w:val="nil"/>
              <w:left w:val="nil"/>
              <w:bottom w:val="nil"/>
              <w:right w:val="nil"/>
            </w:tcBorders>
            <w:shd w:val="clear" w:color="auto" w:fill="F2F2F2"/>
            <w:vAlign w:val="center"/>
          </w:tcPr>
          <w:p w14:paraId="4593BDE2" w14:textId="77777777" w:rsidR="001F2C9E" w:rsidRPr="001F2C9E" w:rsidRDefault="001F2C9E" w:rsidP="001F2C9E">
            <w:pPr>
              <w:spacing w:after="0" w:line="240" w:lineRule="auto"/>
              <w:jc w:val="both"/>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 xml:space="preserve">Retenciones para Jubilaciones y Pensiones Subcuenta 2 </w:t>
            </w:r>
          </w:p>
        </w:tc>
        <w:tc>
          <w:tcPr>
            <w:tcW w:w="1587" w:type="dxa"/>
            <w:tcBorders>
              <w:top w:val="nil"/>
              <w:left w:val="nil"/>
              <w:bottom w:val="nil"/>
              <w:right w:val="nil"/>
            </w:tcBorders>
            <w:shd w:val="clear" w:color="auto" w:fill="F2F2F2"/>
          </w:tcPr>
          <w:p w14:paraId="4FE84F2F" w14:textId="77777777" w:rsidR="001F2C9E" w:rsidRPr="001F2C9E" w:rsidRDefault="001F2C9E" w:rsidP="001F2C9E">
            <w:pPr>
              <w:spacing w:after="0" w:line="240" w:lineRule="exact"/>
              <w:jc w:val="right"/>
              <w:rPr>
                <w:rFonts w:ascii="Montserrat" w:hAnsi="Montserrat"/>
                <w:sz w:val="15"/>
                <w:szCs w:val="15"/>
              </w:rPr>
            </w:pPr>
            <w:r w:rsidRPr="001F2C9E">
              <w:rPr>
                <w:rFonts w:ascii="Montserrat" w:hAnsi="Montserrat"/>
                <w:sz w:val="15"/>
                <w:szCs w:val="15"/>
              </w:rPr>
              <w:t>-5,140,174,872.</w:t>
            </w:r>
            <w:r w:rsidR="0043513B">
              <w:rPr>
                <w:rFonts w:ascii="Montserrat" w:hAnsi="Montserrat"/>
                <w:sz w:val="15"/>
                <w:szCs w:val="15"/>
              </w:rPr>
              <w:t>7</w:t>
            </w:r>
            <w:r w:rsidRPr="001F2C9E">
              <w:rPr>
                <w:rFonts w:ascii="Montserrat" w:hAnsi="Montserrat"/>
                <w:sz w:val="15"/>
                <w:szCs w:val="15"/>
              </w:rPr>
              <w:t xml:space="preserve"> </w:t>
            </w:r>
          </w:p>
        </w:tc>
        <w:tc>
          <w:tcPr>
            <w:tcW w:w="1588" w:type="dxa"/>
            <w:tcBorders>
              <w:top w:val="nil"/>
              <w:left w:val="nil"/>
              <w:bottom w:val="nil"/>
              <w:right w:val="nil"/>
            </w:tcBorders>
            <w:shd w:val="clear" w:color="auto" w:fill="F2F2F2"/>
            <w:vAlign w:val="bottom"/>
          </w:tcPr>
          <w:p w14:paraId="1E328DE0"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eastAsia="Times New Roman" w:hAnsi="Montserrat"/>
                <w:color w:val="000000"/>
                <w:sz w:val="15"/>
                <w:szCs w:val="15"/>
                <w:lang w:eastAsia="es-MX"/>
              </w:rPr>
              <w:t>4,544,692,687.2</w:t>
            </w:r>
          </w:p>
        </w:tc>
      </w:tr>
      <w:tr w:rsidR="001F2C9E" w:rsidRPr="001F2C9E" w14:paraId="3F476B2D" w14:textId="77777777" w:rsidTr="009A4968">
        <w:tc>
          <w:tcPr>
            <w:tcW w:w="4503" w:type="dxa"/>
            <w:tcBorders>
              <w:top w:val="nil"/>
              <w:left w:val="nil"/>
              <w:bottom w:val="single" w:sz="12" w:space="0" w:color="808080"/>
              <w:right w:val="nil"/>
            </w:tcBorders>
            <w:shd w:val="clear" w:color="auto" w:fill="F2F2F2"/>
            <w:vAlign w:val="center"/>
          </w:tcPr>
          <w:p w14:paraId="16702841" w14:textId="77777777" w:rsidR="001F2C9E" w:rsidRPr="001F2C9E" w:rsidRDefault="001F2C9E" w:rsidP="001F2C9E">
            <w:pPr>
              <w:spacing w:after="0" w:line="240" w:lineRule="auto"/>
              <w:jc w:val="both"/>
              <w:rPr>
                <w:rFonts w:ascii="Montserrat" w:eastAsia="Times New Roman" w:hAnsi="Montserrat"/>
                <w:b/>
                <w:color w:val="000000"/>
                <w:sz w:val="15"/>
                <w:szCs w:val="15"/>
                <w:lang w:eastAsia="es-MX"/>
              </w:rPr>
            </w:pPr>
            <w:r w:rsidRPr="001F2C9E">
              <w:rPr>
                <w:rFonts w:ascii="Montserrat" w:eastAsia="Times New Roman" w:hAnsi="Montserrat"/>
                <w:b/>
                <w:color w:val="000000"/>
                <w:sz w:val="15"/>
                <w:szCs w:val="15"/>
                <w:lang w:eastAsia="es-MX"/>
              </w:rPr>
              <w:t>Total</w:t>
            </w:r>
          </w:p>
        </w:tc>
        <w:tc>
          <w:tcPr>
            <w:tcW w:w="1587" w:type="dxa"/>
            <w:tcBorders>
              <w:top w:val="nil"/>
              <w:left w:val="nil"/>
              <w:bottom w:val="single" w:sz="12" w:space="0" w:color="808080"/>
              <w:right w:val="nil"/>
            </w:tcBorders>
            <w:shd w:val="clear" w:color="auto" w:fill="F2F2F2"/>
          </w:tcPr>
          <w:p w14:paraId="67C507FF" w14:textId="77777777" w:rsidR="001F2C9E" w:rsidRPr="001F2C9E" w:rsidRDefault="001F2C9E" w:rsidP="001F2C9E">
            <w:pPr>
              <w:spacing w:after="0" w:line="240" w:lineRule="exact"/>
              <w:jc w:val="right"/>
              <w:rPr>
                <w:rFonts w:ascii="Montserrat" w:eastAsia="Times New Roman" w:hAnsi="Montserrat"/>
                <w:b/>
                <w:bCs/>
                <w:color w:val="000000"/>
                <w:sz w:val="15"/>
                <w:szCs w:val="15"/>
                <w:lang w:eastAsia="es-MX"/>
              </w:rPr>
            </w:pPr>
            <w:r w:rsidRPr="001F2C9E">
              <w:rPr>
                <w:rFonts w:ascii="Montserrat" w:hAnsi="Montserrat"/>
                <w:b/>
                <w:bCs/>
                <w:sz w:val="15"/>
                <w:szCs w:val="15"/>
              </w:rPr>
              <w:t>-11,644,913,678.</w:t>
            </w:r>
            <w:r w:rsidR="004E7E2C">
              <w:rPr>
                <w:rFonts w:ascii="Montserrat" w:hAnsi="Montserrat"/>
                <w:b/>
                <w:bCs/>
                <w:sz w:val="15"/>
                <w:szCs w:val="15"/>
              </w:rPr>
              <w:t>4</w:t>
            </w:r>
            <w:r w:rsidRPr="001F2C9E">
              <w:rPr>
                <w:rFonts w:ascii="Montserrat" w:hAnsi="Montserrat"/>
                <w:b/>
                <w:bCs/>
                <w:sz w:val="15"/>
                <w:szCs w:val="15"/>
              </w:rPr>
              <w:t xml:space="preserve"> </w:t>
            </w:r>
          </w:p>
        </w:tc>
        <w:tc>
          <w:tcPr>
            <w:tcW w:w="1588" w:type="dxa"/>
            <w:tcBorders>
              <w:top w:val="nil"/>
              <w:left w:val="nil"/>
              <w:bottom w:val="single" w:sz="12" w:space="0" w:color="808080"/>
              <w:right w:val="nil"/>
            </w:tcBorders>
            <w:shd w:val="clear" w:color="auto" w:fill="F2F2F2"/>
            <w:vAlign w:val="bottom"/>
          </w:tcPr>
          <w:p w14:paraId="0CD0BF4B" w14:textId="77777777" w:rsidR="001F2C9E" w:rsidRPr="001F2C9E" w:rsidRDefault="001F2C9E" w:rsidP="001F2C9E">
            <w:pPr>
              <w:spacing w:after="0" w:line="240" w:lineRule="exact"/>
              <w:jc w:val="right"/>
              <w:rPr>
                <w:rFonts w:ascii="Montserrat" w:eastAsia="Times New Roman" w:hAnsi="Montserrat"/>
                <w:color w:val="000000"/>
                <w:sz w:val="15"/>
                <w:szCs w:val="15"/>
                <w:lang w:eastAsia="es-MX"/>
              </w:rPr>
            </w:pPr>
            <w:r w:rsidRPr="001F2C9E">
              <w:rPr>
                <w:rFonts w:ascii="Montserrat" w:eastAsia="Times New Roman" w:hAnsi="Montserrat"/>
                <w:b/>
                <w:bCs/>
                <w:color w:val="000000"/>
                <w:sz w:val="15"/>
                <w:szCs w:val="15"/>
                <w:lang w:eastAsia="es-MX"/>
              </w:rPr>
              <w:t>4,236,916,052.7</w:t>
            </w:r>
          </w:p>
        </w:tc>
      </w:tr>
    </w:tbl>
    <w:p w14:paraId="31E76967" w14:textId="77777777" w:rsidR="00C42548" w:rsidRPr="0039371B" w:rsidRDefault="00C42548" w:rsidP="009D5C48">
      <w:pPr>
        <w:pStyle w:val="TEXTONORMAL"/>
        <w:rPr>
          <w:highlight w:val="yellow"/>
          <w:lang w:val="es-MX"/>
        </w:rPr>
      </w:pPr>
    </w:p>
    <w:p w14:paraId="15C355E8" w14:textId="77777777" w:rsidR="00C42548" w:rsidRPr="0039371B" w:rsidRDefault="00C42548" w:rsidP="009D5C48">
      <w:pPr>
        <w:pStyle w:val="TEXTONORMAL"/>
        <w:rPr>
          <w:highlight w:val="yellow"/>
          <w:lang w:val="es-MX"/>
        </w:rPr>
      </w:pPr>
    </w:p>
    <w:p w14:paraId="01C375AF" w14:textId="77777777" w:rsidR="00C42548" w:rsidRPr="0039371B" w:rsidRDefault="00C42548" w:rsidP="009D5C48">
      <w:pPr>
        <w:pStyle w:val="TEXTONORMAL"/>
        <w:rPr>
          <w:highlight w:val="yellow"/>
          <w:lang w:val="es-MX"/>
        </w:rPr>
      </w:pPr>
    </w:p>
    <w:p w14:paraId="42866A3B" w14:textId="77777777" w:rsidR="00C42548" w:rsidRPr="0039371B" w:rsidRDefault="00C42548" w:rsidP="009D5C48">
      <w:pPr>
        <w:pStyle w:val="TEXTONORMAL"/>
        <w:rPr>
          <w:highlight w:val="yellow"/>
          <w:lang w:val="es-MX"/>
        </w:rPr>
      </w:pPr>
    </w:p>
    <w:bookmarkEnd w:id="0"/>
    <w:p w14:paraId="39A620FE" w14:textId="77777777" w:rsidR="00C42548" w:rsidRPr="0039371B" w:rsidRDefault="00C42548" w:rsidP="009D5C48">
      <w:pPr>
        <w:pStyle w:val="TEXTONORMAL"/>
        <w:rPr>
          <w:highlight w:val="yellow"/>
          <w:lang w:val="es-MX"/>
        </w:rPr>
      </w:pPr>
    </w:p>
    <w:p w14:paraId="354C8CA9" w14:textId="77777777" w:rsidR="00C42548" w:rsidRPr="0039371B" w:rsidRDefault="00C42548" w:rsidP="009D5C48">
      <w:pPr>
        <w:pStyle w:val="TEXTONORMAL"/>
        <w:rPr>
          <w:highlight w:val="yellow"/>
          <w:lang w:val="es-MX"/>
        </w:rPr>
      </w:pPr>
    </w:p>
    <w:p w14:paraId="54BD07CF" w14:textId="77777777" w:rsidR="00C42548" w:rsidRPr="0039371B" w:rsidRDefault="00C42548" w:rsidP="009D5C48">
      <w:pPr>
        <w:pStyle w:val="TEXTONORMAL"/>
        <w:rPr>
          <w:highlight w:val="yellow"/>
          <w:lang w:val="es-MX"/>
        </w:rPr>
      </w:pPr>
    </w:p>
    <w:p w14:paraId="72E176EC" w14:textId="77777777" w:rsidR="009B2165" w:rsidRDefault="009B2165" w:rsidP="009B2165">
      <w:pPr>
        <w:pStyle w:val="TEXTONORMAL"/>
        <w:rPr>
          <w:lang w:val="es-MX"/>
        </w:rPr>
      </w:pPr>
      <w:r w:rsidRPr="00BE115F">
        <w:lastRenderedPageBreak/>
        <w:t xml:space="preserve">Al </w:t>
      </w:r>
      <w:r>
        <w:t xml:space="preserve">30 de septiembre de 2022 </w:t>
      </w:r>
      <w:r w:rsidRPr="00BE115F">
        <w:t>y</w:t>
      </w:r>
      <w:r>
        <w:t xml:space="preserve"> al </w:t>
      </w:r>
      <w:r w:rsidRPr="00BE115F">
        <w:t>31 de diciembre de 20</w:t>
      </w:r>
      <w:r>
        <w:t>21</w:t>
      </w:r>
      <w:r w:rsidRPr="001C55A3">
        <w:rPr>
          <w:lang w:val="es-MX"/>
        </w:rPr>
        <w:t xml:space="preserve">, los </w:t>
      </w:r>
      <w:r>
        <w:rPr>
          <w:lang w:val="es-MX"/>
        </w:rPr>
        <w:t>i</w:t>
      </w:r>
      <w:r w:rsidRPr="001C55A3">
        <w:rPr>
          <w:lang w:val="es-MX"/>
        </w:rPr>
        <w:t xml:space="preserve">nstrumentos </w:t>
      </w:r>
      <w:r>
        <w:rPr>
          <w:lang w:val="es-MX"/>
        </w:rPr>
        <w:t>f</w:t>
      </w:r>
      <w:r w:rsidRPr="001C55A3">
        <w:rPr>
          <w:lang w:val="es-MX"/>
        </w:rPr>
        <w:t>inancieros</w:t>
      </w:r>
      <w:r>
        <w:rPr>
          <w:lang w:val="es-MX"/>
        </w:rPr>
        <w:t xml:space="preserve"> </w:t>
      </w:r>
      <w:r w:rsidRPr="006F4AAF">
        <w:t xml:space="preserve">de las </w:t>
      </w:r>
      <w:r>
        <w:t>Reservas y el Fondo Laboral</w:t>
      </w:r>
      <w:r w:rsidRPr="001C55A3">
        <w:rPr>
          <w:lang w:val="es-MX"/>
        </w:rPr>
        <w:t xml:space="preserve"> se invirtieron </w:t>
      </w:r>
      <w:r>
        <w:rPr>
          <w:lang w:val="es-MX"/>
        </w:rPr>
        <w:t>como sigue:</w:t>
      </w:r>
    </w:p>
    <w:p w14:paraId="4E9C3D0F" w14:textId="77777777" w:rsidR="00C42548" w:rsidRPr="0039371B" w:rsidRDefault="00C42548" w:rsidP="00C42548">
      <w:pPr>
        <w:pStyle w:val="TEXTONORMAL"/>
        <w:rPr>
          <w:highlight w:val="yellow"/>
          <w:lang w:val="es-MX"/>
        </w:rPr>
      </w:pPr>
    </w:p>
    <w:tbl>
      <w:tblPr>
        <w:tblpPr w:leftFromText="141" w:rightFromText="141" w:vertAnchor="text" w:tblpXSpec="center" w:tblpY="-43"/>
        <w:tblOverlap w:val="neve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07"/>
        <w:gridCol w:w="1483"/>
        <w:gridCol w:w="1678"/>
        <w:gridCol w:w="1513"/>
      </w:tblGrid>
      <w:tr w:rsidR="00C42548" w:rsidRPr="009B2165" w14:paraId="0A040C94" w14:textId="77777777" w:rsidTr="00393450">
        <w:trPr>
          <w:trHeight w:val="357"/>
        </w:trPr>
        <w:tc>
          <w:tcPr>
            <w:tcW w:w="4007"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5ADF5611" w14:textId="77777777" w:rsidR="00C42548" w:rsidRPr="009B2165" w:rsidRDefault="00C42548" w:rsidP="009A4968">
            <w:pPr>
              <w:spacing w:after="0" w:line="240" w:lineRule="exact"/>
              <w:jc w:val="center"/>
              <w:rPr>
                <w:rFonts w:ascii="Montserrat" w:hAnsi="Montserrat"/>
                <w:b/>
                <w:color w:val="FFFFFF"/>
                <w:sz w:val="16"/>
                <w:szCs w:val="16"/>
              </w:rPr>
            </w:pPr>
            <w:r w:rsidRPr="009B2165">
              <w:rPr>
                <w:rFonts w:ascii="Montserrat" w:eastAsia="Times New Roman" w:hAnsi="Montserrat"/>
                <w:b/>
                <w:bCs/>
                <w:color w:val="FFFFFF"/>
                <w:sz w:val="16"/>
                <w:szCs w:val="18"/>
                <w:lang w:eastAsia="es-MX"/>
              </w:rPr>
              <w:t>Instrumentos financieros</w:t>
            </w:r>
          </w:p>
        </w:tc>
        <w:tc>
          <w:tcPr>
            <w:tcW w:w="1483"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44F5C06A" w14:textId="77777777" w:rsidR="00C42548" w:rsidRPr="009B2165" w:rsidRDefault="00C42548" w:rsidP="009A4968">
            <w:pPr>
              <w:spacing w:after="0" w:line="240" w:lineRule="exact"/>
              <w:jc w:val="center"/>
              <w:rPr>
                <w:rFonts w:ascii="Montserrat" w:hAnsi="Montserrat"/>
                <w:b/>
                <w:color w:val="FFFFFF"/>
                <w:sz w:val="16"/>
                <w:szCs w:val="16"/>
              </w:rPr>
            </w:pPr>
            <w:r w:rsidRPr="009B2165">
              <w:rPr>
                <w:rFonts w:ascii="Montserrat" w:eastAsia="Times New Roman" w:hAnsi="Montserrat"/>
                <w:b/>
                <w:bCs/>
                <w:color w:val="FFFFFF"/>
                <w:sz w:val="16"/>
                <w:szCs w:val="18"/>
                <w:lang w:eastAsia="es-MX"/>
              </w:rPr>
              <w:t>Inversión</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hideMark/>
          </w:tcPr>
          <w:p w14:paraId="22E36E1D" w14:textId="77777777" w:rsidR="00C42548" w:rsidRPr="009B2165" w:rsidRDefault="00C42548" w:rsidP="009A4968">
            <w:pPr>
              <w:spacing w:after="0" w:line="240" w:lineRule="exact"/>
              <w:jc w:val="center"/>
              <w:rPr>
                <w:rFonts w:ascii="Montserrat" w:eastAsia="Times New Roman" w:hAnsi="Montserrat"/>
                <w:b/>
                <w:bCs/>
                <w:color w:val="FFFFFF"/>
                <w:sz w:val="16"/>
                <w:szCs w:val="18"/>
                <w:lang w:eastAsia="es-MX"/>
              </w:rPr>
            </w:pPr>
            <w:r w:rsidRPr="009B2165">
              <w:rPr>
                <w:rFonts w:ascii="Montserrat" w:eastAsia="Times New Roman" w:hAnsi="Montserrat"/>
                <w:b/>
                <w:bCs/>
                <w:color w:val="FFFFFF"/>
                <w:sz w:val="16"/>
                <w:szCs w:val="18"/>
                <w:lang w:eastAsia="es-MX"/>
              </w:rPr>
              <w:t>Cifras en pesos</w:t>
            </w:r>
          </w:p>
        </w:tc>
      </w:tr>
      <w:tr w:rsidR="00C42548" w:rsidRPr="009B2165" w14:paraId="15EBBF77" w14:textId="77777777" w:rsidTr="00393450">
        <w:trPr>
          <w:trHeight w:val="230"/>
        </w:trPr>
        <w:tc>
          <w:tcPr>
            <w:tcW w:w="4007"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58634C87" w14:textId="77777777" w:rsidR="00C42548" w:rsidRPr="009B2165" w:rsidRDefault="00C42548" w:rsidP="009A4968">
            <w:pPr>
              <w:spacing w:after="0" w:line="240" w:lineRule="auto"/>
              <w:rPr>
                <w:rFonts w:ascii="Montserrat" w:hAnsi="Montserrat"/>
                <w:b/>
                <w:color w:val="FFFFFF"/>
                <w:sz w:val="16"/>
                <w:szCs w:val="16"/>
              </w:rPr>
            </w:pPr>
          </w:p>
        </w:tc>
        <w:tc>
          <w:tcPr>
            <w:tcW w:w="1483"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747BAACF" w14:textId="77777777" w:rsidR="00C42548" w:rsidRPr="009B2165" w:rsidRDefault="00C4254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4754CA40" w14:textId="77777777" w:rsidR="00C42548" w:rsidRPr="009B2165" w:rsidRDefault="00C42548" w:rsidP="009A4968">
            <w:pPr>
              <w:spacing w:after="0" w:line="240" w:lineRule="exact"/>
              <w:jc w:val="center"/>
              <w:rPr>
                <w:rFonts w:ascii="Montserrat" w:hAnsi="Montserrat"/>
                <w:b/>
                <w:color w:val="FFFFFF"/>
                <w:sz w:val="16"/>
                <w:szCs w:val="16"/>
              </w:rPr>
            </w:pPr>
            <w:r w:rsidRPr="009B2165">
              <w:rPr>
                <w:rFonts w:ascii="Montserrat" w:eastAsia="Times New Roman" w:hAnsi="Montserrat"/>
                <w:b/>
                <w:bCs/>
                <w:color w:val="FFFFFF"/>
                <w:sz w:val="16"/>
                <w:szCs w:val="18"/>
                <w:lang w:eastAsia="es-MX"/>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1ADFC741" w14:textId="77777777" w:rsidR="00C42548" w:rsidRPr="009B2165" w:rsidRDefault="00C42548" w:rsidP="009A4968">
            <w:pPr>
              <w:spacing w:after="0" w:line="240" w:lineRule="exact"/>
              <w:jc w:val="center"/>
              <w:rPr>
                <w:rFonts w:ascii="Montserrat" w:eastAsia="Times New Roman" w:hAnsi="Montserrat"/>
                <w:b/>
                <w:bCs/>
                <w:color w:val="FFFFFF"/>
                <w:sz w:val="16"/>
                <w:szCs w:val="18"/>
                <w:lang w:eastAsia="es-MX"/>
              </w:rPr>
            </w:pPr>
            <w:r w:rsidRPr="009B2165">
              <w:rPr>
                <w:rFonts w:ascii="Montserrat" w:eastAsia="Times New Roman" w:hAnsi="Montserrat"/>
                <w:b/>
                <w:bCs/>
                <w:color w:val="FFFFFF"/>
                <w:sz w:val="16"/>
                <w:szCs w:val="18"/>
                <w:lang w:eastAsia="es-MX"/>
              </w:rPr>
              <w:t>2021</w:t>
            </w:r>
          </w:p>
        </w:tc>
      </w:tr>
      <w:tr w:rsidR="009B2165" w:rsidRPr="009B2165" w14:paraId="2F55BD17" w14:textId="77777777" w:rsidTr="00393450">
        <w:trPr>
          <w:trHeight w:val="747"/>
        </w:trPr>
        <w:tc>
          <w:tcPr>
            <w:tcW w:w="4007" w:type="dxa"/>
            <w:tcBorders>
              <w:top w:val="nil"/>
              <w:left w:val="nil"/>
              <w:bottom w:val="nil"/>
              <w:right w:val="nil"/>
            </w:tcBorders>
            <w:shd w:val="clear" w:color="auto" w:fill="F2F2F2"/>
          </w:tcPr>
          <w:p w14:paraId="101CEA36"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Valores Gubernamentales y Corporativos, Bancarios</w:t>
            </w:r>
          </w:p>
        </w:tc>
        <w:tc>
          <w:tcPr>
            <w:tcW w:w="1483" w:type="dxa"/>
            <w:tcBorders>
              <w:top w:val="nil"/>
              <w:left w:val="nil"/>
              <w:bottom w:val="nil"/>
              <w:right w:val="nil"/>
            </w:tcBorders>
            <w:shd w:val="clear" w:color="auto" w:fill="F2F2F2"/>
          </w:tcPr>
          <w:p w14:paraId="4051D303"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Plazo tasa fija</w:t>
            </w:r>
          </w:p>
        </w:tc>
        <w:tc>
          <w:tcPr>
            <w:tcW w:w="0" w:type="auto"/>
            <w:tcBorders>
              <w:top w:val="nil"/>
              <w:left w:val="nil"/>
              <w:bottom w:val="nil"/>
              <w:right w:val="nil"/>
            </w:tcBorders>
            <w:shd w:val="clear" w:color="auto" w:fill="F2F2F2"/>
            <w:vAlign w:val="center"/>
          </w:tcPr>
          <w:p w14:paraId="1E18F92D"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144,225,149,690.3</w:t>
            </w:r>
          </w:p>
        </w:tc>
        <w:tc>
          <w:tcPr>
            <w:tcW w:w="0" w:type="auto"/>
            <w:tcBorders>
              <w:top w:val="nil"/>
              <w:left w:val="nil"/>
              <w:bottom w:val="nil"/>
              <w:right w:val="nil"/>
            </w:tcBorders>
            <w:shd w:val="clear" w:color="auto" w:fill="F2F2F2"/>
            <w:vAlign w:val="center"/>
          </w:tcPr>
          <w:p w14:paraId="3F1BFA15"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147,489,831,541.6</w:t>
            </w:r>
          </w:p>
        </w:tc>
      </w:tr>
      <w:tr w:rsidR="009B2165" w:rsidRPr="009B2165" w14:paraId="208BEA8C" w14:textId="77777777" w:rsidTr="00393450">
        <w:trPr>
          <w:trHeight w:val="775"/>
        </w:trPr>
        <w:tc>
          <w:tcPr>
            <w:tcW w:w="4007" w:type="dxa"/>
            <w:tcBorders>
              <w:top w:val="nil"/>
              <w:left w:val="nil"/>
              <w:bottom w:val="nil"/>
              <w:right w:val="nil"/>
            </w:tcBorders>
            <w:shd w:val="clear" w:color="auto" w:fill="F2F2F2"/>
          </w:tcPr>
          <w:p w14:paraId="0743DD72"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Valores Gubernamentales y Corporativos, Bancarios</w:t>
            </w:r>
          </w:p>
        </w:tc>
        <w:tc>
          <w:tcPr>
            <w:tcW w:w="1483" w:type="dxa"/>
            <w:tcBorders>
              <w:top w:val="nil"/>
              <w:left w:val="nil"/>
              <w:bottom w:val="nil"/>
              <w:right w:val="nil"/>
            </w:tcBorders>
            <w:shd w:val="clear" w:color="auto" w:fill="F2F2F2"/>
          </w:tcPr>
          <w:p w14:paraId="519319D5"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 xml:space="preserve">Plazo tasa real </w:t>
            </w:r>
          </w:p>
        </w:tc>
        <w:tc>
          <w:tcPr>
            <w:tcW w:w="0" w:type="auto"/>
            <w:tcBorders>
              <w:top w:val="nil"/>
              <w:left w:val="nil"/>
              <w:bottom w:val="nil"/>
              <w:right w:val="nil"/>
            </w:tcBorders>
            <w:shd w:val="clear" w:color="auto" w:fill="F2F2F2"/>
            <w:vAlign w:val="center"/>
          </w:tcPr>
          <w:p w14:paraId="1352DBCB"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115,335,515,458.9 </w:t>
            </w:r>
          </w:p>
        </w:tc>
        <w:tc>
          <w:tcPr>
            <w:tcW w:w="0" w:type="auto"/>
            <w:tcBorders>
              <w:top w:val="nil"/>
              <w:left w:val="nil"/>
              <w:bottom w:val="nil"/>
              <w:right w:val="nil"/>
            </w:tcBorders>
            <w:shd w:val="clear" w:color="auto" w:fill="F2F2F2"/>
            <w:vAlign w:val="center"/>
          </w:tcPr>
          <w:p w14:paraId="6CC6C54C"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72,731,649,913.9</w:t>
            </w:r>
          </w:p>
        </w:tc>
      </w:tr>
      <w:tr w:rsidR="009B2165" w:rsidRPr="009B2165" w14:paraId="4AA11A11" w14:textId="77777777" w:rsidTr="00393450">
        <w:trPr>
          <w:trHeight w:val="388"/>
        </w:trPr>
        <w:tc>
          <w:tcPr>
            <w:tcW w:w="4007" w:type="dxa"/>
            <w:tcBorders>
              <w:top w:val="nil"/>
              <w:left w:val="nil"/>
              <w:bottom w:val="nil"/>
              <w:right w:val="nil"/>
            </w:tcBorders>
            <w:shd w:val="clear" w:color="auto" w:fill="F2F2F2"/>
          </w:tcPr>
          <w:p w14:paraId="32B1D31A"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Inversiones en Fondeo</w:t>
            </w:r>
          </w:p>
        </w:tc>
        <w:tc>
          <w:tcPr>
            <w:tcW w:w="1483" w:type="dxa"/>
            <w:tcBorders>
              <w:top w:val="nil"/>
              <w:left w:val="nil"/>
              <w:bottom w:val="nil"/>
              <w:right w:val="nil"/>
            </w:tcBorders>
            <w:shd w:val="clear" w:color="auto" w:fill="F2F2F2"/>
          </w:tcPr>
          <w:p w14:paraId="6AFC68E8"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Plazo a la vista</w:t>
            </w:r>
          </w:p>
        </w:tc>
        <w:tc>
          <w:tcPr>
            <w:tcW w:w="0" w:type="auto"/>
            <w:tcBorders>
              <w:top w:val="nil"/>
              <w:left w:val="nil"/>
              <w:bottom w:val="nil"/>
              <w:right w:val="nil"/>
            </w:tcBorders>
            <w:shd w:val="clear" w:color="auto" w:fill="F2F2F2"/>
            <w:vAlign w:val="center"/>
          </w:tcPr>
          <w:p w14:paraId="70516BAA"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25,305,078,519.0 </w:t>
            </w:r>
          </w:p>
        </w:tc>
        <w:tc>
          <w:tcPr>
            <w:tcW w:w="0" w:type="auto"/>
            <w:tcBorders>
              <w:top w:val="nil"/>
              <w:left w:val="nil"/>
              <w:bottom w:val="nil"/>
              <w:right w:val="nil"/>
            </w:tcBorders>
            <w:shd w:val="clear" w:color="auto" w:fill="F2F2F2"/>
            <w:vAlign w:val="center"/>
          </w:tcPr>
          <w:p w14:paraId="7E9C3B6F"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33,877,962,715.6</w:t>
            </w:r>
          </w:p>
        </w:tc>
      </w:tr>
      <w:tr w:rsidR="009B2165" w:rsidRPr="009B2165" w14:paraId="3244F5B1" w14:textId="77777777" w:rsidTr="00393450">
        <w:trPr>
          <w:trHeight w:val="775"/>
        </w:trPr>
        <w:tc>
          <w:tcPr>
            <w:tcW w:w="4007" w:type="dxa"/>
            <w:tcBorders>
              <w:top w:val="nil"/>
              <w:left w:val="nil"/>
              <w:bottom w:val="nil"/>
              <w:right w:val="nil"/>
            </w:tcBorders>
            <w:shd w:val="clear" w:color="auto" w:fill="F2F2F2"/>
          </w:tcPr>
          <w:p w14:paraId="2171EB0C"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Valores Gubernamentales y Corporativos, Bancarios</w:t>
            </w:r>
          </w:p>
        </w:tc>
        <w:tc>
          <w:tcPr>
            <w:tcW w:w="1483" w:type="dxa"/>
            <w:tcBorders>
              <w:top w:val="nil"/>
              <w:left w:val="nil"/>
              <w:bottom w:val="nil"/>
              <w:right w:val="nil"/>
            </w:tcBorders>
            <w:shd w:val="clear" w:color="auto" w:fill="F2F2F2"/>
          </w:tcPr>
          <w:p w14:paraId="2A530247"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Plazo tasa revisable</w:t>
            </w:r>
          </w:p>
        </w:tc>
        <w:tc>
          <w:tcPr>
            <w:tcW w:w="0" w:type="auto"/>
            <w:tcBorders>
              <w:top w:val="nil"/>
              <w:left w:val="nil"/>
              <w:bottom w:val="nil"/>
              <w:right w:val="nil"/>
            </w:tcBorders>
            <w:shd w:val="clear" w:color="auto" w:fill="F2F2F2"/>
            <w:vAlign w:val="center"/>
          </w:tcPr>
          <w:p w14:paraId="4D8B2C3E"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32,241,101,691.9</w:t>
            </w:r>
          </w:p>
        </w:tc>
        <w:tc>
          <w:tcPr>
            <w:tcW w:w="0" w:type="auto"/>
            <w:tcBorders>
              <w:top w:val="nil"/>
              <w:left w:val="nil"/>
              <w:bottom w:val="nil"/>
              <w:right w:val="nil"/>
            </w:tcBorders>
            <w:shd w:val="clear" w:color="auto" w:fill="F2F2F2"/>
            <w:vAlign w:val="center"/>
          </w:tcPr>
          <w:p w14:paraId="6F2D272E"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17,041,581,040.6</w:t>
            </w:r>
          </w:p>
        </w:tc>
      </w:tr>
      <w:tr w:rsidR="009B2165" w:rsidRPr="009B2165" w14:paraId="64DBC69F" w14:textId="77777777" w:rsidTr="00393450">
        <w:trPr>
          <w:trHeight w:val="357"/>
        </w:trPr>
        <w:tc>
          <w:tcPr>
            <w:tcW w:w="4007" w:type="dxa"/>
            <w:tcBorders>
              <w:top w:val="nil"/>
              <w:left w:val="nil"/>
              <w:bottom w:val="nil"/>
              <w:right w:val="nil"/>
            </w:tcBorders>
            <w:shd w:val="clear" w:color="auto" w:fill="F2F2F2"/>
            <w:vAlign w:val="center"/>
          </w:tcPr>
          <w:p w14:paraId="1A924305" w14:textId="77777777" w:rsidR="009B2165" w:rsidRPr="009B2165" w:rsidRDefault="009B2165" w:rsidP="009B2165">
            <w:pPr>
              <w:spacing w:after="0" w:line="240" w:lineRule="auto"/>
              <w:jc w:val="both"/>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Mercado Accionario</w:t>
            </w:r>
          </w:p>
        </w:tc>
        <w:tc>
          <w:tcPr>
            <w:tcW w:w="1483" w:type="dxa"/>
            <w:tcBorders>
              <w:top w:val="nil"/>
              <w:left w:val="nil"/>
              <w:bottom w:val="nil"/>
              <w:right w:val="nil"/>
            </w:tcBorders>
            <w:shd w:val="clear" w:color="auto" w:fill="F2F2F2"/>
          </w:tcPr>
          <w:p w14:paraId="7821E7BC" w14:textId="77777777" w:rsidR="009B2165" w:rsidRPr="009B2165" w:rsidRDefault="009B2165" w:rsidP="009B2165">
            <w:pPr>
              <w:spacing w:after="0" w:line="240" w:lineRule="exact"/>
              <w:rPr>
                <w:rFonts w:ascii="Montserrat" w:eastAsia="Times New Roman" w:hAnsi="Montserrat"/>
                <w:color w:val="000000"/>
                <w:sz w:val="15"/>
                <w:szCs w:val="15"/>
                <w:lang w:eastAsia="es-MX"/>
              </w:rPr>
            </w:pPr>
          </w:p>
        </w:tc>
        <w:tc>
          <w:tcPr>
            <w:tcW w:w="0" w:type="auto"/>
            <w:tcBorders>
              <w:top w:val="nil"/>
              <w:left w:val="nil"/>
              <w:bottom w:val="nil"/>
              <w:right w:val="nil"/>
            </w:tcBorders>
            <w:shd w:val="clear" w:color="auto" w:fill="F2F2F2"/>
            <w:vAlign w:val="center"/>
          </w:tcPr>
          <w:p w14:paraId="47C41E18"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35,990,016,541.3 </w:t>
            </w:r>
          </w:p>
        </w:tc>
        <w:tc>
          <w:tcPr>
            <w:tcW w:w="0" w:type="auto"/>
            <w:tcBorders>
              <w:top w:val="nil"/>
              <w:left w:val="nil"/>
              <w:bottom w:val="nil"/>
              <w:right w:val="nil"/>
            </w:tcBorders>
            <w:shd w:val="clear" w:color="auto" w:fill="F2F2F2"/>
            <w:vAlign w:val="center"/>
          </w:tcPr>
          <w:p w14:paraId="49C34FDE"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40,468,432,390.8</w:t>
            </w:r>
          </w:p>
        </w:tc>
      </w:tr>
      <w:tr w:rsidR="009B2165" w:rsidRPr="009B2165" w14:paraId="48BECC4B" w14:textId="77777777" w:rsidTr="00393450">
        <w:trPr>
          <w:trHeight w:val="388"/>
        </w:trPr>
        <w:tc>
          <w:tcPr>
            <w:tcW w:w="4007" w:type="dxa"/>
            <w:tcBorders>
              <w:top w:val="nil"/>
              <w:left w:val="nil"/>
              <w:bottom w:val="nil"/>
              <w:right w:val="nil"/>
            </w:tcBorders>
            <w:shd w:val="clear" w:color="auto" w:fill="F2F2F2"/>
            <w:hideMark/>
          </w:tcPr>
          <w:p w14:paraId="5E5FACD5" w14:textId="77777777" w:rsidR="009B2165" w:rsidRPr="009B2165" w:rsidRDefault="009B2165" w:rsidP="009B2165">
            <w:pPr>
              <w:spacing w:after="0" w:line="240" w:lineRule="exac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Intereses Devengados No Cobrados</w:t>
            </w:r>
          </w:p>
        </w:tc>
        <w:tc>
          <w:tcPr>
            <w:tcW w:w="1483" w:type="dxa"/>
            <w:tcBorders>
              <w:top w:val="nil"/>
              <w:left w:val="nil"/>
              <w:bottom w:val="nil"/>
              <w:right w:val="nil"/>
            </w:tcBorders>
            <w:shd w:val="clear" w:color="auto" w:fill="F2F2F2"/>
          </w:tcPr>
          <w:p w14:paraId="177656E0" w14:textId="77777777" w:rsidR="009B2165" w:rsidRPr="009B2165" w:rsidRDefault="009B2165" w:rsidP="009B2165">
            <w:pPr>
              <w:spacing w:after="0" w:line="240" w:lineRule="exact"/>
              <w:rPr>
                <w:rFonts w:ascii="Montserrat" w:eastAsia="Times New Roman" w:hAnsi="Montserrat"/>
                <w:color w:val="000000"/>
                <w:sz w:val="15"/>
                <w:szCs w:val="15"/>
                <w:lang w:eastAsia="es-MX"/>
              </w:rPr>
            </w:pPr>
          </w:p>
        </w:tc>
        <w:tc>
          <w:tcPr>
            <w:tcW w:w="0" w:type="auto"/>
            <w:tcBorders>
              <w:top w:val="nil"/>
              <w:left w:val="nil"/>
              <w:bottom w:val="nil"/>
              <w:right w:val="nil"/>
            </w:tcBorders>
            <w:shd w:val="clear" w:color="auto" w:fill="F2F2F2"/>
            <w:vAlign w:val="center"/>
            <w:hideMark/>
          </w:tcPr>
          <w:p w14:paraId="31EF8DA4"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hAnsi="Montserrat"/>
                <w:sz w:val="15"/>
                <w:szCs w:val="15"/>
              </w:rPr>
              <w:t xml:space="preserve"> 21,031,982,584.3 </w:t>
            </w:r>
          </w:p>
        </w:tc>
        <w:tc>
          <w:tcPr>
            <w:tcW w:w="0" w:type="auto"/>
            <w:tcBorders>
              <w:top w:val="nil"/>
              <w:left w:val="nil"/>
              <w:bottom w:val="nil"/>
              <w:right w:val="nil"/>
            </w:tcBorders>
            <w:shd w:val="clear" w:color="auto" w:fill="F2F2F2"/>
            <w:vAlign w:val="center"/>
          </w:tcPr>
          <w:p w14:paraId="4E19A43E"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color w:val="000000"/>
                <w:sz w:val="15"/>
                <w:szCs w:val="15"/>
                <w:lang w:eastAsia="es-MX"/>
              </w:rPr>
              <w:t>14,520,674,528.4</w:t>
            </w:r>
          </w:p>
        </w:tc>
      </w:tr>
      <w:tr w:rsidR="009B2165" w:rsidRPr="009B2165" w14:paraId="6BC8744A" w14:textId="77777777" w:rsidTr="00393450">
        <w:trPr>
          <w:trHeight w:val="348"/>
        </w:trPr>
        <w:tc>
          <w:tcPr>
            <w:tcW w:w="4007" w:type="dxa"/>
            <w:tcBorders>
              <w:top w:val="nil"/>
              <w:left w:val="nil"/>
              <w:bottom w:val="single" w:sz="4" w:space="0" w:color="auto"/>
              <w:right w:val="nil"/>
            </w:tcBorders>
            <w:shd w:val="clear" w:color="auto" w:fill="F2F2F2"/>
          </w:tcPr>
          <w:p w14:paraId="5AB0370E" w14:textId="77777777" w:rsidR="009B2165" w:rsidRPr="009B2165" w:rsidRDefault="00BC2CF3" w:rsidP="009B2165">
            <w:pPr>
              <w:spacing w:after="0" w:line="240" w:lineRule="exac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T</w:t>
            </w:r>
            <w:r w:rsidR="009B2165" w:rsidRPr="009B2165">
              <w:rPr>
                <w:rFonts w:ascii="Montserrat" w:eastAsia="Times New Roman" w:hAnsi="Montserrat"/>
                <w:b/>
                <w:bCs/>
                <w:color w:val="000000"/>
                <w:sz w:val="15"/>
                <w:szCs w:val="15"/>
                <w:lang w:eastAsia="es-MX"/>
              </w:rPr>
              <w:t>otal</w:t>
            </w:r>
          </w:p>
        </w:tc>
        <w:tc>
          <w:tcPr>
            <w:tcW w:w="1483" w:type="dxa"/>
            <w:tcBorders>
              <w:top w:val="nil"/>
              <w:left w:val="nil"/>
              <w:bottom w:val="single" w:sz="4" w:space="0" w:color="auto"/>
              <w:right w:val="nil"/>
            </w:tcBorders>
            <w:shd w:val="clear" w:color="auto" w:fill="F2F2F2"/>
            <w:vAlign w:val="center"/>
          </w:tcPr>
          <w:p w14:paraId="353CFDD0" w14:textId="77777777" w:rsidR="009B2165" w:rsidRPr="009B2165" w:rsidRDefault="009B2165" w:rsidP="009B2165">
            <w:pPr>
              <w:spacing w:after="0" w:line="240" w:lineRule="auto"/>
              <w:rPr>
                <w:rFonts w:ascii="Montserrat" w:eastAsia="Times New Roman" w:hAnsi="Montserrat"/>
                <w:color w:val="000000"/>
                <w:sz w:val="15"/>
                <w:szCs w:val="15"/>
                <w:lang w:eastAsia="es-MX"/>
              </w:rPr>
            </w:pPr>
          </w:p>
        </w:tc>
        <w:tc>
          <w:tcPr>
            <w:tcW w:w="0" w:type="auto"/>
            <w:tcBorders>
              <w:top w:val="nil"/>
              <w:left w:val="nil"/>
              <w:bottom w:val="single" w:sz="4" w:space="0" w:color="auto"/>
              <w:right w:val="nil"/>
            </w:tcBorders>
            <w:shd w:val="clear" w:color="auto" w:fill="F2F2F2"/>
            <w:vAlign w:val="center"/>
          </w:tcPr>
          <w:p w14:paraId="7FE1D359" w14:textId="77777777" w:rsidR="009B2165" w:rsidRPr="009B2165" w:rsidRDefault="009B2165" w:rsidP="009B2165">
            <w:pPr>
              <w:spacing w:after="0" w:line="240" w:lineRule="exact"/>
              <w:jc w:val="right"/>
              <w:rPr>
                <w:rFonts w:ascii="Montserrat" w:hAnsi="Montserrat" w:cs="Calibri"/>
                <w:b/>
                <w:bCs/>
                <w:color w:val="000000"/>
                <w:sz w:val="15"/>
                <w:szCs w:val="15"/>
              </w:rPr>
            </w:pPr>
            <w:r w:rsidRPr="009B2165">
              <w:rPr>
                <w:rFonts w:ascii="Montserrat" w:hAnsi="Montserrat"/>
                <w:b/>
                <w:bCs/>
                <w:sz w:val="15"/>
                <w:szCs w:val="15"/>
              </w:rPr>
              <w:t xml:space="preserve"> 374,128,844,485.7 </w:t>
            </w:r>
          </w:p>
        </w:tc>
        <w:tc>
          <w:tcPr>
            <w:tcW w:w="0" w:type="auto"/>
            <w:tcBorders>
              <w:top w:val="nil"/>
              <w:left w:val="nil"/>
              <w:bottom w:val="single" w:sz="4" w:space="0" w:color="auto"/>
              <w:right w:val="nil"/>
            </w:tcBorders>
            <w:shd w:val="clear" w:color="auto" w:fill="F2F2F2"/>
            <w:vAlign w:val="center"/>
          </w:tcPr>
          <w:p w14:paraId="157605C8" w14:textId="77777777" w:rsidR="009B2165" w:rsidRPr="009B2165" w:rsidRDefault="009B2165" w:rsidP="009B2165">
            <w:pPr>
              <w:spacing w:after="0" w:line="240" w:lineRule="exact"/>
              <w:jc w:val="right"/>
              <w:rPr>
                <w:rFonts w:ascii="Montserrat" w:eastAsia="Times New Roman" w:hAnsi="Montserrat"/>
                <w:color w:val="000000"/>
                <w:sz w:val="15"/>
                <w:szCs w:val="15"/>
                <w:lang w:eastAsia="es-MX"/>
              </w:rPr>
            </w:pPr>
            <w:r w:rsidRPr="009B2165">
              <w:rPr>
                <w:rFonts w:ascii="Montserrat" w:eastAsia="Times New Roman" w:hAnsi="Montserrat"/>
                <w:b/>
                <w:bCs/>
                <w:color w:val="000000"/>
                <w:sz w:val="15"/>
                <w:szCs w:val="15"/>
                <w:lang w:eastAsia="es-MX"/>
              </w:rPr>
              <w:t>326,130,132,130.9</w:t>
            </w:r>
            <w:r w:rsidRPr="009B2165">
              <w:rPr>
                <w:rFonts w:ascii="Montserrat" w:eastAsia="Times New Roman" w:hAnsi="Montserrat"/>
                <w:color w:val="000000"/>
                <w:sz w:val="15"/>
                <w:szCs w:val="15"/>
                <w:lang w:eastAsia="es-MX"/>
              </w:rPr>
              <w:t xml:space="preserve"> </w:t>
            </w:r>
          </w:p>
        </w:tc>
      </w:tr>
    </w:tbl>
    <w:p w14:paraId="0422224A" w14:textId="77777777" w:rsidR="00C42548" w:rsidRPr="0039371B" w:rsidRDefault="00C42548" w:rsidP="009D5C48">
      <w:pPr>
        <w:pStyle w:val="TEXTONORMAL"/>
        <w:rPr>
          <w:highlight w:val="yellow"/>
          <w:lang w:val="es-MX"/>
        </w:rPr>
      </w:pPr>
    </w:p>
    <w:p w14:paraId="2C8A1779" w14:textId="77777777" w:rsidR="00C42548" w:rsidRPr="0039371B" w:rsidRDefault="00C42548" w:rsidP="009D5C48">
      <w:pPr>
        <w:pStyle w:val="TEXTONORMAL"/>
        <w:rPr>
          <w:highlight w:val="yellow"/>
          <w:lang w:val="es-MX"/>
        </w:rPr>
      </w:pPr>
    </w:p>
    <w:p w14:paraId="48B34556" w14:textId="77777777" w:rsidR="00C42548" w:rsidRPr="0039371B" w:rsidRDefault="00C42548" w:rsidP="009D5C48">
      <w:pPr>
        <w:pStyle w:val="TEXTONORMAL"/>
        <w:rPr>
          <w:highlight w:val="yellow"/>
          <w:lang w:val="es-MX"/>
        </w:rPr>
      </w:pPr>
    </w:p>
    <w:p w14:paraId="2077DFEB" w14:textId="77777777" w:rsidR="00C42548" w:rsidRPr="0039371B" w:rsidRDefault="00C42548" w:rsidP="009D5C48">
      <w:pPr>
        <w:pStyle w:val="TEXTONORMAL"/>
        <w:rPr>
          <w:highlight w:val="yellow"/>
          <w:lang w:val="es-MX"/>
        </w:rPr>
      </w:pPr>
    </w:p>
    <w:p w14:paraId="31D5EE86" w14:textId="77777777" w:rsidR="00C42548" w:rsidRPr="0039371B" w:rsidRDefault="00C42548" w:rsidP="009D5C48">
      <w:pPr>
        <w:pStyle w:val="TEXTONORMAL"/>
        <w:rPr>
          <w:highlight w:val="yellow"/>
          <w:lang w:val="es-MX"/>
        </w:rPr>
      </w:pPr>
    </w:p>
    <w:p w14:paraId="772C4E56" w14:textId="77777777" w:rsidR="00C42548" w:rsidRPr="0039371B" w:rsidRDefault="00C42548" w:rsidP="009D5C48">
      <w:pPr>
        <w:pStyle w:val="TEXTONORMAL"/>
        <w:rPr>
          <w:highlight w:val="yellow"/>
          <w:lang w:val="es-MX"/>
        </w:rPr>
      </w:pPr>
    </w:p>
    <w:p w14:paraId="79C63A44" w14:textId="77777777" w:rsidR="00C42548" w:rsidRPr="0039371B" w:rsidRDefault="00C42548" w:rsidP="009D5C48">
      <w:pPr>
        <w:pStyle w:val="TEXTONORMAL"/>
        <w:rPr>
          <w:highlight w:val="yellow"/>
          <w:lang w:val="es-MX"/>
        </w:rPr>
      </w:pPr>
    </w:p>
    <w:p w14:paraId="44B63AD0" w14:textId="77777777" w:rsidR="00C42548" w:rsidRPr="0039371B" w:rsidRDefault="00C42548" w:rsidP="009D5C48">
      <w:pPr>
        <w:pStyle w:val="TEXTONORMAL"/>
        <w:rPr>
          <w:highlight w:val="yellow"/>
          <w:lang w:val="es-MX"/>
        </w:rPr>
      </w:pPr>
    </w:p>
    <w:p w14:paraId="1DFB1DFF" w14:textId="77777777" w:rsidR="00C42548" w:rsidRPr="0039371B" w:rsidRDefault="00C42548" w:rsidP="009D5C48">
      <w:pPr>
        <w:pStyle w:val="TEXTONORMAL"/>
        <w:rPr>
          <w:highlight w:val="yellow"/>
          <w:lang w:val="es-MX"/>
        </w:rPr>
      </w:pPr>
    </w:p>
    <w:p w14:paraId="45BA90B6" w14:textId="77777777" w:rsidR="004E6782" w:rsidRPr="0039371B" w:rsidRDefault="004E6782" w:rsidP="00471C1C">
      <w:pPr>
        <w:pStyle w:val="TEXTONORMAL"/>
        <w:rPr>
          <w:highlight w:val="yellow"/>
          <w:lang w:val="es-MX"/>
        </w:rPr>
      </w:pPr>
    </w:p>
    <w:p w14:paraId="214E5E20" w14:textId="77777777" w:rsidR="00393450" w:rsidRDefault="00393450" w:rsidP="003B273A">
      <w:pPr>
        <w:pStyle w:val="TEXTONORMAL"/>
        <w:rPr>
          <w:lang w:val="es-MX"/>
        </w:rPr>
      </w:pPr>
    </w:p>
    <w:p w14:paraId="567DBA74" w14:textId="77777777" w:rsidR="00393450" w:rsidRDefault="00393450" w:rsidP="003B273A">
      <w:pPr>
        <w:pStyle w:val="TEXTONORMAL"/>
        <w:rPr>
          <w:lang w:val="es-MX"/>
        </w:rPr>
      </w:pPr>
    </w:p>
    <w:p w14:paraId="3066E343" w14:textId="77777777" w:rsidR="00393450" w:rsidRDefault="00393450" w:rsidP="003B273A">
      <w:pPr>
        <w:pStyle w:val="TEXTONORMAL"/>
        <w:rPr>
          <w:lang w:val="es-MX"/>
        </w:rPr>
      </w:pPr>
    </w:p>
    <w:p w14:paraId="76294320" w14:textId="77777777" w:rsidR="00393450" w:rsidRDefault="00393450" w:rsidP="003B273A">
      <w:pPr>
        <w:pStyle w:val="TEXTONORMAL"/>
        <w:rPr>
          <w:lang w:val="es-MX"/>
        </w:rPr>
      </w:pPr>
    </w:p>
    <w:p w14:paraId="28010EE6" w14:textId="77777777" w:rsidR="003B273A" w:rsidRDefault="003B273A" w:rsidP="003B273A">
      <w:pPr>
        <w:pStyle w:val="TEXTONORMAL"/>
        <w:rPr>
          <w:lang w:val="es-MX"/>
        </w:rPr>
      </w:pPr>
      <w:r w:rsidRPr="00B06CFA">
        <w:rPr>
          <w:lang w:val="es-MX"/>
        </w:rPr>
        <w:t>Las inversiones de la tabla anterior incluyen instrumentos financieros del mercado de deuda</w:t>
      </w:r>
      <w:r>
        <w:rPr>
          <w:lang w:val="es-MX"/>
        </w:rPr>
        <w:t xml:space="preserve"> como</w:t>
      </w:r>
      <w:r w:rsidRPr="00B06CFA">
        <w:rPr>
          <w:lang w:val="es-MX"/>
        </w:rPr>
        <w:t xml:space="preserve"> títulos bancarios, corporativos, gubernamentales</w:t>
      </w:r>
      <w:r>
        <w:rPr>
          <w:lang w:val="es-MX"/>
        </w:rPr>
        <w:t>; así como del</w:t>
      </w:r>
      <w:r w:rsidRPr="00B06CFA">
        <w:rPr>
          <w:lang w:val="es-MX"/>
        </w:rPr>
        <w:t xml:space="preserve"> mercado </w:t>
      </w:r>
      <w:r>
        <w:rPr>
          <w:lang w:val="es-MX"/>
        </w:rPr>
        <w:t>de capitales</w:t>
      </w:r>
      <w:r w:rsidRPr="00B06CFA">
        <w:rPr>
          <w:lang w:val="es-MX"/>
        </w:rPr>
        <w:t xml:space="preserve"> e inversiones tercerizadas (Mandatos de Inversión).</w:t>
      </w:r>
    </w:p>
    <w:p w14:paraId="4BA5532A" w14:textId="77777777" w:rsidR="003B273A" w:rsidRDefault="003B273A" w:rsidP="003B273A">
      <w:pPr>
        <w:pStyle w:val="TEXTONORMAL"/>
        <w:rPr>
          <w:lang w:val="es-MX"/>
        </w:rPr>
      </w:pPr>
      <w:r w:rsidRPr="007A44BD">
        <w:rPr>
          <w:lang w:val="es-MX"/>
        </w:rPr>
        <w:t xml:space="preserve">El H. Consejo Técnico autorizó mediante acuerdo </w:t>
      </w:r>
      <w:r w:rsidRPr="001445FF">
        <w:rPr>
          <w:lang w:val="es-MX"/>
        </w:rPr>
        <w:t xml:space="preserve">ACDO.AS3.HCT.251121/302.P.DF </w:t>
      </w:r>
      <w:r w:rsidRPr="007A44BD">
        <w:rPr>
          <w:lang w:val="es-MX"/>
        </w:rPr>
        <w:t xml:space="preserve">del </w:t>
      </w:r>
      <w:r>
        <w:rPr>
          <w:lang w:val="es-MX"/>
        </w:rPr>
        <w:t>25</w:t>
      </w:r>
      <w:r w:rsidRPr="007A44BD">
        <w:rPr>
          <w:lang w:val="es-MX"/>
        </w:rPr>
        <w:t xml:space="preserve"> de </w:t>
      </w:r>
      <w:r>
        <w:rPr>
          <w:lang w:val="es-MX"/>
        </w:rPr>
        <w:t>noviembre</w:t>
      </w:r>
      <w:r w:rsidRPr="007A44BD">
        <w:rPr>
          <w:lang w:val="es-MX"/>
        </w:rPr>
        <w:t xml:space="preserve"> del 202</w:t>
      </w:r>
      <w:r>
        <w:rPr>
          <w:lang w:val="es-MX"/>
        </w:rPr>
        <w:t>1</w:t>
      </w:r>
      <w:r w:rsidRPr="007A44BD">
        <w:rPr>
          <w:lang w:val="es-MX"/>
        </w:rPr>
        <w:t xml:space="preserve">, </w:t>
      </w:r>
      <w:r w:rsidRPr="001445FF">
        <w:rPr>
          <w:lang w:val="es-MX"/>
        </w:rPr>
        <w:t xml:space="preserve">la propuesta de traspaso de instrumentos financieros </w:t>
      </w:r>
      <w:r>
        <w:rPr>
          <w:lang w:val="es-MX"/>
        </w:rPr>
        <w:t>de</w:t>
      </w:r>
      <w:r w:rsidRPr="001445FF">
        <w:rPr>
          <w:lang w:val="es-MX"/>
        </w:rPr>
        <w:t xml:space="preserve"> las Reservas Financieras y Actuariales </w:t>
      </w:r>
      <w:r>
        <w:rPr>
          <w:lang w:val="es-MX"/>
        </w:rPr>
        <w:t>a</w:t>
      </w:r>
      <w:r w:rsidRPr="001445FF">
        <w:rPr>
          <w:lang w:val="es-MX"/>
        </w:rPr>
        <w:t xml:space="preserve"> la Reserva de Operación para Contingencias y Financiamiento</w:t>
      </w:r>
      <w:r>
        <w:rPr>
          <w:lang w:val="es-MX"/>
        </w:rPr>
        <w:t xml:space="preserve">. Al respecto, </w:t>
      </w:r>
      <w:r w:rsidRPr="001445FF">
        <w:rPr>
          <w:lang w:val="es-MX"/>
        </w:rPr>
        <w:t xml:space="preserve">entre el 3 y el 7 de enero de </w:t>
      </w:r>
      <w:r>
        <w:rPr>
          <w:lang w:val="es-MX"/>
        </w:rPr>
        <w:t>2022 se traspasaron 381 posiciones</w:t>
      </w:r>
      <w:r w:rsidRPr="001445FF">
        <w:rPr>
          <w:lang w:val="es-MX"/>
        </w:rPr>
        <w:t>, por un importe de poco más de 45 mil</w:t>
      </w:r>
      <w:r>
        <w:rPr>
          <w:lang w:val="es-MX"/>
        </w:rPr>
        <w:t xml:space="preserve"> millones de pesos.</w:t>
      </w:r>
    </w:p>
    <w:p w14:paraId="20744249" w14:textId="77777777" w:rsidR="003B273A" w:rsidRDefault="003B273A" w:rsidP="003B273A">
      <w:pPr>
        <w:pStyle w:val="TEXTONORMAL"/>
        <w:rPr>
          <w:lang w:val="es-MX"/>
        </w:rPr>
      </w:pPr>
      <w:r>
        <w:rPr>
          <w:lang w:val="es-MX"/>
        </w:rPr>
        <w:t>En cumplimiento al artículo 302 LSS, a partir de abril de 2022 ingresaron recursos por $254,713,613.9 para constituir una reserva suficiente para atender las solicitudes de devolución de los trabajadores, pensionados o beneficiarios de la Subcuenta de Retiro, Cesantía en Edad Avanzada y Vejez.</w:t>
      </w:r>
    </w:p>
    <w:p w14:paraId="271F9DB3" w14:textId="77777777" w:rsidR="003B273A" w:rsidRDefault="003B273A" w:rsidP="003B273A">
      <w:pPr>
        <w:pStyle w:val="TEXTONORMAL"/>
        <w:rPr>
          <w:lang w:val="es-MX"/>
        </w:rPr>
      </w:pPr>
      <w:r w:rsidRPr="00747FF2">
        <w:rPr>
          <w:lang w:val="es-MX"/>
        </w:rPr>
        <w:t>Conforme al acuerdo ACDO.AS3.HCT.141221/339.P.DF del H. Consejo Técnico, el 1 de septiembre del año en curso inició la Reserva Financiera y Actuarial del Seguro de Guarderías y Prestaciones Sociales</w:t>
      </w:r>
      <w:r>
        <w:rPr>
          <w:lang w:val="es-MX"/>
        </w:rPr>
        <w:t xml:space="preserve"> con un importe de $</w:t>
      </w:r>
      <w:r w:rsidRPr="00747FF2">
        <w:rPr>
          <w:lang w:val="es-MX"/>
        </w:rPr>
        <w:t>152,264,792.0</w:t>
      </w:r>
    </w:p>
    <w:p w14:paraId="02F191D4" w14:textId="77777777" w:rsidR="00393450" w:rsidRDefault="00393450" w:rsidP="003B273A">
      <w:pPr>
        <w:pStyle w:val="TEXTONORMAL"/>
      </w:pPr>
    </w:p>
    <w:p w14:paraId="08743588" w14:textId="77777777" w:rsidR="003B273A" w:rsidRDefault="003B273A" w:rsidP="003B273A">
      <w:pPr>
        <w:pStyle w:val="TEXTONORMAL"/>
        <w:rPr>
          <w:lang w:val="es-MX"/>
        </w:rPr>
      </w:pPr>
      <w:r w:rsidRPr="00BE115F">
        <w:lastRenderedPageBreak/>
        <w:t xml:space="preserve">Al </w:t>
      </w:r>
      <w:r>
        <w:t xml:space="preserve">30 de septiembre de 2022 </w:t>
      </w:r>
      <w:r w:rsidRPr="00BE115F">
        <w:t>y</w:t>
      </w:r>
      <w:r>
        <w:t xml:space="preserve"> al </w:t>
      </w:r>
      <w:r w:rsidRPr="00BE115F">
        <w:t>31 de diciembre de 20</w:t>
      </w:r>
      <w:r>
        <w:t>21</w:t>
      </w:r>
      <w:r w:rsidRPr="00B06CFA">
        <w:rPr>
          <w:lang w:val="es-MX"/>
        </w:rPr>
        <w:t xml:space="preserve">, la posición en acciones de </w:t>
      </w:r>
      <w:proofErr w:type="spellStart"/>
      <w:r w:rsidRPr="00B06CFA">
        <w:rPr>
          <w:lang w:val="es-MX"/>
        </w:rPr>
        <w:t>Metrofinanciera</w:t>
      </w:r>
      <w:proofErr w:type="spellEnd"/>
      <w:r w:rsidRPr="00B06CFA">
        <w:rPr>
          <w:lang w:val="es-MX"/>
        </w:rPr>
        <w:t xml:space="preserve"> se encuentra con clasificación “Instrumentos Financieros para Cobrar o Vender” tanto para la RFA-SRT como para el RJPS1, la posi</w:t>
      </w:r>
      <w:r>
        <w:rPr>
          <w:lang w:val="es-MX"/>
        </w:rPr>
        <w:t>ción se muestra a continuación:</w:t>
      </w:r>
    </w:p>
    <w:p w14:paraId="6D3648C5" w14:textId="77777777" w:rsidR="00C42548" w:rsidRPr="0039371B" w:rsidRDefault="00C42548" w:rsidP="009D5C48">
      <w:pPr>
        <w:pStyle w:val="TEXTONORMAL"/>
        <w:rPr>
          <w:highlight w:val="yellow"/>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307"/>
        <w:gridCol w:w="961"/>
        <w:gridCol w:w="1165"/>
        <w:gridCol w:w="1939"/>
        <w:gridCol w:w="1551"/>
      </w:tblGrid>
      <w:tr w:rsidR="00471C1C" w:rsidRPr="0039371B" w14:paraId="3C1D8085"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6929E66"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Reserva</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1D38EE3"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 xml:space="preserve">Cifras en pesos al 30 de </w:t>
            </w:r>
            <w:r w:rsidR="004A214E">
              <w:rPr>
                <w:rFonts w:ascii="Montserrat" w:hAnsi="Montserrat"/>
                <w:b/>
                <w:color w:val="FFFFFF"/>
                <w:sz w:val="15"/>
                <w:szCs w:val="15"/>
              </w:rPr>
              <w:t>septiembre</w:t>
            </w:r>
            <w:r w:rsidRPr="004A214E">
              <w:rPr>
                <w:rFonts w:ascii="Montserrat" w:hAnsi="Montserrat"/>
                <w:b/>
                <w:color w:val="FFFFFF"/>
                <w:sz w:val="15"/>
                <w:szCs w:val="15"/>
              </w:rPr>
              <w:t xml:space="preserve"> 2022</w:t>
            </w:r>
          </w:p>
        </w:tc>
      </w:tr>
      <w:tr w:rsidR="00471C1C" w:rsidRPr="0039371B" w14:paraId="6BEF1D09" w14:textId="77777777" w:rsidTr="009A4968">
        <w:trPr>
          <w:trHeight w:val="41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52D830ED" w14:textId="77777777" w:rsidR="00471C1C" w:rsidRPr="004A214E" w:rsidRDefault="00471C1C" w:rsidP="009A4968">
            <w:pPr>
              <w:spacing w:after="0" w:line="240" w:lineRule="auto"/>
              <w:jc w:val="center"/>
              <w:rPr>
                <w:rFonts w:ascii="Montserrat" w:hAnsi="Montserrat"/>
                <w:b/>
                <w:color w:val="FFFFFF"/>
                <w:sz w:val="15"/>
                <w:szCs w:val="15"/>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4AD9E04B"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37E822D" w14:textId="77777777" w:rsidR="00471C1C" w:rsidRPr="004A214E" w:rsidRDefault="00471C1C" w:rsidP="009A4968">
            <w:pPr>
              <w:spacing w:after="0" w:line="240" w:lineRule="exact"/>
              <w:rPr>
                <w:rFonts w:ascii="Montserrat" w:hAnsi="Montserrat"/>
                <w:b/>
                <w:color w:val="FFFFFF"/>
                <w:sz w:val="15"/>
                <w:szCs w:val="15"/>
              </w:rPr>
            </w:pPr>
            <w:r w:rsidRPr="004A214E">
              <w:rPr>
                <w:rFonts w:ascii="Montserrat" w:hAnsi="Montserrat"/>
                <w:b/>
                <w:color w:val="FFFFFF"/>
                <w:sz w:val="15"/>
                <w:szCs w:val="15"/>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4754C586"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Deterioro registrado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1A2A82F8"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Saldo contable</w:t>
            </w:r>
          </w:p>
        </w:tc>
      </w:tr>
      <w:tr w:rsidR="00471C1C" w:rsidRPr="0039371B" w14:paraId="0C484BCE" w14:textId="77777777" w:rsidTr="009A4968">
        <w:tc>
          <w:tcPr>
            <w:tcW w:w="0" w:type="auto"/>
            <w:tcBorders>
              <w:top w:val="double" w:sz="12" w:space="0" w:color="808080"/>
              <w:left w:val="nil"/>
              <w:bottom w:val="nil"/>
              <w:right w:val="nil"/>
            </w:tcBorders>
            <w:shd w:val="clear" w:color="auto" w:fill="F2F2F2"/>
            <w:hideMark/>
          </w:tcPr>
          <w:p w14:paraId="4F39E445" w14:textId="77777777" w:rsidR="00471C1C" w:rsidRPr="004A214E" w:rsidRDefault="00471C1C" w:rsidP="009A4968">
            <w:pPr>
              <w:tabs>
                <w:tab w:val="right" w:pos="4120"/>
              </w:tabs>
              <w:spacing w:after="0" w:line="240" w:lineRule="exact"/>
              <w:rPr>
                <w:rFonts w:ascii="Montserrat" w:hAnsi="Montserrat"/>
                <w:b/>
                <w:sz w:val="15"/>
                <w:szCs w:val="15"/>
              </w:rPr>
            </w:pPr>
            <w:r w:rsidRPr="004A214E">
              <w:rPr>
                <w:rFonts w:ascii="Montserrat" w:hAnsi="Montserrat"/>
                <w:b/>
                <w:sz w:val="15"/>
                <w:szCs w:val="15"/>
              </w:rPr>
              <w:t>RFA-SRT</w:t>
            </w:r>
          </w:p>
        </w:tc>
        <w:tc>
          <w:tcPr>
            <w:tcW w:w="0" w:type="auto"/>
            <w:tcBorders>
              <w:top w:val="double" w:sz="12" w:space="0" w:color="808080"/>
              <w:left w:val="nil"/>
              <w:bottom w:val="nil"/>
              <w:right w:val="nil"/>
            </w:tcBorders>
            <w:shd w:val="clear" w:color="auto" w:fill="F2F2F2"/>
            <w:vAlign w:val="bottom"/>
          </w:tcPr>
          <w:p w14:paraId="7AF70A99"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725E801F"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2E661EDF"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1EBB235C" w14:textId="77777777" w:rsidR="00471C1C" w:rsidRPr="004A214E" w:rsidRDefault="00471C1C" w:rsidP="009A4968">
            <w:pPr>
              <w:spacing w:after="0" w:line="240" w:lineRule="exact"/>
              <w:jc w:val="right"/>
              <w:rPr>
                <w:rFonts w:ascii="Montserrat" w:hAnsi="Montserrat"/>
                <w:sz w:val="15"/>
                <w:szCs w:val="15"/>
              </w:rPr>
            </w:pPr>
          </w:p>
        </w:tc>
      </w:tr>
      <w:tr w:rsidR="00471C1C" w:rsidRPr="0039371B" w14:paraId="26646B0E" w14:textId="77777777" w:rsidTr="009A4968">
        <w:tc>
          <w:tcPr>
            <w:tcW w:w="0" w:type="auto"/>
            <w:tcBorders>
              <w:top w:val="nil"/>
              <w:left w:val="nil"/>
              <w:bottom w:val="nil"/>
              <w:right w:val="nil"/>
            </w:tcBorders>
            <w:shd w:val="clear" w:color="auto" w:fill="F2F2F2"/>
            <w:hideMark/>
          </w:tcPr>
          <w:p w14:paraId="4C90C6F9"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692E0D94"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6,895,191 </w:t>
            </w:r>
          </w:p>
        </w:tc>
        <w:tc>
          <w:tcPr>
            <w:tcW w:w="0" w:type="auto"/>
            <w:tcBorders>
              <w:top w:val="nil"/>
              <w:left w:val="nil"/>
              <w:bottom w:val="nil"/>
              <w:right w:val="nil"/>
            </w:tcBorders>
            <w:shd w:val="clear" w:color="auto" w:fill="F2F2F2"/>
            <w:vAlign w:val="bottom"/>
            <w:hideMark/>
          </w:tcPr>
          <w:p w14:paraId="26CBDFC7"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19,375,486.7</w:t>
            </w:r>
          </w:p>
        </w:tc>
        <w:tc>
          <w:tcPr>
            <w:tcW w:w="0" w:type="auto"/>
            <w:tcBorders>
              <w:top w:val="nil"/>
              <w:left w:val="nil"/>
              <w:bottom w:val="nil"/>
              <w:right w:val="nil"/>
            </w:tcBorders>
            <w:shd w:val="clear" w:color="auto" w:fill="F2F2F2"/>
            <w:vAlign w:val="bottom"/>
            <w:hideMark/>
          </w:tcPr>
          <w:p w14:paraId="7654962E"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(18,683,033.</w:t>
            </w:r>
            <w:r w:rsidR="004A214E">
              <w:rPr>
                <w:rFonts w:ascii="Montserrat" w:hAnsi="Montserrat"/>
                <w:sz w:val="15"/>
                <w:szCs w:val="15"/>
              </w:rPr>
              <w:t>6</w:t>
            </w:r>
            <w:r w:rsidRPr="004A214E">
              <w:rPr>
                <w:rFonts w:ascii="Montserrat" w:hAnsi="Montserrat"/>
                <w:sz w:val="15"/>
                <w:szCs w:val="15"/>
              </w:rPr>
              <w:t>)</w:t>
            </w:r>
          </w:p>
        </w:tc>
        <w:tc>
          <w:tcPr>
            <w:tcW w:w="0" w:type="auto"/>
            <w:tcBorders>
              <w:top w:val="nil"/>
              <w:left w:val="nil"/>
              <w:bottom w:val="nil"/>
              <w:right w:val="nil"/>
            </w:tcBorders>
            <w:shd w:val="clear" w:color="auto" w:fill="F2F2F2"/>
            <w:vAlign w:val="bottom"/>
            <w:hideMark/>
          </w:tcPr>
          <w:p w14:paraId="26124817"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692,453.1 </w:t>
            </w:r>
          </w:p>
        </w:tc>
      </w:tr>
      <w:tr w:rsidR="00471C1C" w:rsidRPr="0039371B" w14:paraId="1B6DBE7D" w14:textId="77777777" w:rsidTr="009A4968">
        <w:tc>
          <w:tcPr>
            <w:tcW w:w="0" w:type="auto"/>
            <w:tcBorders>
              <w:top w:val="nil"/>
              <w:left w:val="nil"/>
              <w:bottom w:val="nil"/>
              <w:right w:val="nil"/>
            </w:tcBorders>
            <w:shd w:val="clear" w:color="auto" w:fill="F2F2F2"/>
            <w:hideMark/>
          </w:tcPr>
          <w:p w14:paraId="756BC39C"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II Serie A</w:t>
            </w:r>
          </w:p>
        </w:tc>
        <w:tc>
          <w:tcPr>
            <w:tcW w:w="0" w:type="auto"/>
            <w:tcBorders>
              <w:top w:val="nil"/>
              <w:left w:val="nil"/>
              <w:bottom w:val="nil"/>
              <w:right w:val="nil"/>
            </w:tcBorders>
            <w:shd w:val="clear" w:color="auto" w:fill="F2F2F2"/>
            <w:vAlign w:val="bottom"/>
            <w:hideMark/>
          </w:tcPr>
          <w:p w14:paraId="423C3B79"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11,945,444 </w:t>
            </w:r>
          </w:p>
        </w:tc>
        <w:tc>
          <w:tcPr>
            <w:tcW w:w="0" w:type="auto"/>
            <w:tcBorders>
              <w:top w:val="nil"/>
              <w:left w:val="nil"/>
              <w:bottom w:val="nil"/>
              <w:right w:val="nil"/>
            </w:tcBorders>
            <w:shd w:val="clear" w:color="auto" w:fill="F2F2F2"/>
            <w:vAlign w:val="bottom"/>
            <w:hideMark/>
          </w:tcPr>
          <w:p w14:paraId="1BC257EB"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33,686,152.</w:t>
            </w:r>
            <w:r w:rsidR="004A214E" w:rsidRPr="004A214E">
              <w:rPr>
                <w:rFonts w:ascii="Montserrat" w:hAnsi="Montserrat"/>
                <w:sz w:val="15"/>
                <w:szCs w:val="15"/>
              </w:rPr>
              <w:t>1</w:t>
            </w:r>
          </w:p>
        </w:tc>
        <w:tc>
          <w:tcPr>
            <w:tcW w:w="0" w:type="auto"/>
            <w:tcBorders>
              <w:top w:val="nil"/>
              <w:left w:val="nil"/>
              <w:bottom w:val="nil"/>
              <w:right w:val="nil"/>
            </w:tcBorders>
            <w:shd w:val="clear" w:color="auto" w:fill="F2F2F2"/>
            <w:vAlign w:val="bottom"/>
            <w:hideMark/>
          </w:tcPr>
          <w:p w14:paraId="09B38660"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(20,651,91</w:t>
            </w:r>
            <w:r w:rsidR="004A214E" w:rsidRPr="004A214E">
              <w:rPr>
                <w:rFonts w:ascii="Montserrat" w:hAnsi="Montserrat"/>
                <w:sz w:val="15"/>
                <w:szCs w:val="15"/>
              </w:rPr>
              <w:t>9.0</w:t>
            </w:r>
            <w:r w:rsidRPr="004A214E">
              <w:rPr>
                <w:rFonts w:ascii="Montserrat" w:hAnsi="Montserrat"/>
                <w:sz w:val="15"/>
                <w:szCs w:val="15"/>
              </w:rPr>
              <w:t>)</w:t>
            </w:r>
          </w:p>
        </w:tc>
        <w:tc>
          <w:tcPr>
            <w:tcW w:w="0" w:type="auto"/>
            <w:tcBorders>
              <w:top w:val="nil"/>
              <w:left w:val="nil"/>
              <w:bottom w:val="nil"/>
              <w:right w:val="nil"/>
            </w:tcBorders>
            <w:shd w:val="clear" w:color="auto" w:fill="F2F2F2"/>
            <w:vAlign w:val="bottom"/>
            <w:hideMark/>
          </w:tcPr>
          <w:p w14:paraId="4736C699"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13,034,233.</w:t>
            </w:r>
            <w:r w:rsidR="004A214E" w:rsidRPr="004A214E">
              <w:rPr>
                <w:rFonts w:ascii="Montserrat" w:hAnsi="Montserrat"/>
                <w:sz w:val="15"/>
                <w:szCs w:val="15"/>
              </w:rPr>
              <w:t>1</w:t>
            </w:r>
            <w:r w:rsidRPr="004A214E">
              <w:rPr>
                <w:rFonts w:ascii="Montserrat" w:hAnsi="Montserrat"/>
                <w:sz w:val="15"/>
                <w:szCs w:val="15"/>
              </w:rPr>
              <w:t xml:space="preserve"> </w:t>
            </w:r>
          </w:p>
        </w:tc>
      </w:tr>
      <w:tr w:rsidR="00471C1C" w:rsidRPr="0039371B" w14:paraId="6922BC5F" w14:textId="77777777" w:rsidTr="009A4968">
        <w:tc>
          <w:tcPr>
            <w:tcW w:w="0" w:type="auto"/>
            <w:tcBorders>
              <w:top w:val="nil"/>
              <w:left w:val="nil"/>
              <w:bottom w:val="nil"/>
              <w:right w:val="nil"/>
            </w:tcBorders>
            <w:shd w:val="clear" w:color="auto" w:fill="F2F2F2"/>
            <w:hideMark/>
          </w:tcPr>
          <w:p w14:paraId="5C319242" w14:textId="77777777" w:rsidR="00471C1C" w:rsidRPr="004A214E" w:rsidRDefault="00471C1C" w:rsidP="009A4968">
            <w:pPr>
              <w:spacing w:after="0" w:line="240" w:lineRule="exact"/>
              <w:rPr>
                <w:rFonts w:ascii="Montserrat" w:hAnsi="Montserrat"/>
                <w:b/>
                <w:sz w:val="15"/>
                <w:szCs w:val="15"/>
              </w:rPr>
            </w:pPr>
            <w:r w:rsidRPr="004A214E">
              <w:rPr>
                <w:rFonts w:ascii="Montserrat" w:hAnsi="Montserrat"/>
                <w:b/>
                <w:sz w:val="15"/>
                <w:szCs w:val="15"/>
              </w:rPr>
              <w:t>RJP S1</w:t>
            </w:r>
          </w:p>
        </w:tc>
        <w:tc>
          <w:tcPr>
            <w:tcW w:w="0" w:type="auto"/>
            <w:tcBorders>
              <w:top w:val="nil"/>
              <w:left w:val="nil"/>
              <w:bottom w:val="nil"/>
              <w:right w:val="nil"/>
            </w:tcBorders>
            <w:shd w:val="clear" w:color="auto" w:fill="F2F2F2"/>
            <w:vAlign w:val="bottom"/>
          </w:tcPr>
          <w:p w14:paraId="74C4C770"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3C240F3F"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4E69AB98"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bottom"/>
          </w:tcPr>
          <w:p w14:paraId="46E8B98A" w14:textId="77777777" w:rsidR="00471C1C" w:rsidRPr="004A214E" w:rsidRDefault="00471C1C" w:rsidP="009A4968">
            <w:pPr>
              <w:spacing w:after="0" w:line="240" w:lineRule="exact"/>
              <w:jc w:val="right"/>
              <w:rPr>
                <w:rFonts w:ascii="Montserrat" w:hAnsi="Montserrat"/>
                <w:sz w:val="15"/>
                <w:szCs w:val="15"/>
              </w:rPr>
            </w:pPr>
          </w:p>
        </w:tc>
      </w:tr>
      <w:tr w:rsidR="00471C1C" w:rsidRPr="0039371B" w14:paraId="5C0B856B" w14:textId="77777777" w:rsidTr="009A4968">
        <w:trPr>
          <w:trHeight w:val="87"/>
        </w:trPr>
        <w:tc>
          <w:tcPr>
            <w:tcW w:w="0" w:type="auto"/>
            <w:tcBorders>
              <w:top w:val="nil"/>
              <w:left w:val="nil"/>
              <w:bottom w:val="nil"/>
              <w:right w:val="nil"/>
            </w:tcBorders>
            <w:shd w:val="clear" w:color="auto" w:fill="F2F2F2"/>
            <w:hideMark/>
          </w:tcPr>
          <w:p w14:paraId="74A16F29"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70327240"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6,895,192 </w:t>
            </w:r>
          </w:p>
        </w:tc>
        <w:tc>
          <w:tcPr>
            <w:tcW w:w="0" w:type="auto"/>
            <w:tcBorders>
              <w:top w:val="nil"/>
              <w:left w:val="nil"/>
              <w:bottom w:val="nil"/>
              <w:right w:val="nil"/>
            </w:tcBorders>
            <w:shd w:val="clear" w:color="auto" w:fill="F2F2F2"/>
            <w:vAlign w:val="bottom"/>
            <w:hideMark/>
          </w:tcPr>
          <w:p w14:paraId="5A55F2E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19,375,489.5</w:t>
            </w:r>
          </w:p>
        </w:tc>
        <w:tc>
          <w:tcPr>
            <w:tcW w:w="0" w:type="auto"/>
            <w:tcBorders>
              <w:top w:val="nil"/>
              <w:left w:val="nil"/>
              <w:bottom w:val="nil"/>
              <w:right w:val="nil"/>
            </w:tcBorders>
            <w:shd w:val="clear" w:color="auto" w:fill="F2F2F2"/>
            <w:vAlign w:val="bottom"/>
            <w:hideMark/>
          </w:tcPr>
          <w:p w14:paraId="2E54E9F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(18,683,036.8)</w:t>
            </w:r>
          </w:p>
        </w:tc>
        <w:tc>
          <w:tcPr>
            <w:tcW w:w="0" w:type="auto"/>
            <w:tcBorders>
              <w:top w:val="nil"/>
              <w:left w:val="nil"/>
              <w:bottom w:val="nil"/>
              <w:right w:val="nil"/>
            </w:tcBorders>
            <w:shd w:val="clear" w:color="auto" w:fill="F2F2F2"/>
            <w:vAlign w:val="bottom"/>
            <w:hideMark/>
          </w:tcPr>
          <w:p w14:paraId="0AA0F60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692,452.7 </w:t>
            </w:r>
          </w:p>
        </w:tc>
      </w:tr>
      <w:tr w:rsidR="00471C1C" w:rsidRPr="0039371B" w14:paraId="41C1DBE3" w14:textId="77777777" w:rsidTr="009A4968">
        <w:trPr>
          <w:trHeight w:val="87"/>
        </w:trPr>
        <w:tc>
          <w:tcPr>
            <w:tcW w:w="0" w:type="auto"/>
            <w:tcBorders>
              <w:top w:val="nil"/>
              <w:left w:val="nil"/>
              <w:bottom w:val="single" w:sz="12" w:space="0" w:color="808080"/>
              <w:right w:val="nil"/>
            </w:tcBorders>
            <w:shd w:val="clear" w:color="auto" w:fill="F2F2F2"/>
            <w:hideMark/>
          </w:tcPr>
          <w:p w14:paraId="410A4505"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II Serie A</w:t>
            </w:r>
          </w:p>
        </w:tc>
        <w:tc>
          <w:tcPr>
            <w:tcW w:w="0" w:type="auto"/>
            <w:tcBorders>
              <w:top w:val="nil"/>
              <w:left w:val="nil"/>
              <w:bottom w:val="single" w:sz="12" w:space="0" w:color="808080"/>
              <w:right w:val="nil"/>
            </w:tcBorders>
            <w:shd w:val="clear" w:color="auto" w:fill="F2F2F2"/>
            <w:vAlign w:val="bottom"/>
            <w:hideMark/>
          </w:tcPr>
          <w:p w14:paraId="4206A0E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11,945,445 </w:t>
            </w:r>
          </w:p>
        </w:tc>
        <w:tc>
          <w:tcPr>
            <w:tcW w:w="0" w:type="auto"/>
            <w:tcBorders>
              <w:top w:val="nil"/>
              <w:left w:val="nil"/>
              <w:bottom w:val="single" w:sz="12" w:space="0" w:color="808080"/>
              <w:right w:val="nil"/>
            </w:tcBorders>
            <w:shd w:val="clear" w:color="auto" w:fill="F2F2F2"/>
            <w:vAlign w:val="bottom"/>
            <w:hideMark/>
          </w:tcPr>
          <w:p w14:paraId="13581185"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33,686,154.9</w:t>
            </w:r>
          </w:p>
        </w:tc>
        <w:tc>
          <w:tcPr>
            <w:tcW w:w="0" w:type="auto"/>
            <w:tcBorders>
              <w:top w:val="nil"/>
              <w:left w:val="nil"/>
              <w:bottom w:val="single" w:sz="12" w:space="0" w:color="808080"/>
              <w:right w:val="nil"/>
            </w:tcBorders>
            <w:shd w:val="clear" w:color="auto" w:fill="F2F2F2"/>
            <w:vAlign w:val="bottom"/>
            <w:hideMark/>
          </w:tcPr>
          <w:p w14:paraId="34A4CCFF"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(20,651,91</w:t>
            </w:r>
            <w:r w:rsidR="004A214E" w:rsidRPr="004A214E">
              <w:rPr>
                <w:rFonts w:ascii="Montserrat" w:hAnsi="Montserrat"/>
                <w:sz w:val="15"/>
                <w:szCs w:val="15"/>
              </w:rPr>
              <w:t>9.0</w:t>
            </w:r>
            <w:r w:rsidRPr="004A214E">
              <w:rPr>
                <w:rFonts w:ascii="Montserrat" w:hAnsi="Montserrat"/>
                <w:sz w:val="15"/>
                <w:szCs w:val="15"/>
              </w:rPr>
              <w:t>)</w:t>
            </w:r>
          </w:p>
        </w:tc>
        <w:tc>
          <w:tcPr>
            <w:tcW w:w="0" w:type="auto"/>
            <w:tcBorders>
              <w:top w:val="nil"/>
              <w:left w:val="nil"/>
              <w:bottom w:val="single" w:sz="12" w:space="0" w:color="808080"/>
              <w:right w:val="nil"/>
            </w:tcBorders>
            <w:shd w:val="clear" w:color="auto" w:fill="F2F2F2"/>
            <w:vAlign w:val="bottom"/>
            <w:hideMark/>
          </w:tcPr>
          <w:p w14:paraId="31591686"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13,034,235.9 </w:t>
            </w:r>
          </w:p>
        </w:tc>
      </w:tr>
    </w:tbl>
    <w:p w14:paraId="451D58B3" w14:textId="77777777" w:rsidR="00471C1C" w:rsidRPr="0039371B" w:rsidRDefault="00471C1C" w:rsidP="009D5C48">
      <w:pPr>
        <w:pStyle w:val="TEXTONORMAL"/>
        <w:rPr>
          <w:highlight w:val="yellow"/>
          <w:lang w:val="es-MX"/>
        </w:rPr>
      </w:pPr>
    </w:p>
    <w:p w14:paraId="11E09E93" w14:textId="77777777" w:rsidR="00471C1C" w:rsidRPr="0039371B" w:rsidRDefault="00471C1C" w:rsidP="009D5C48">
      <w:pPr>
        <w:pStyle w:val="TEXTONORMAL"/>
        <w:rPr>
          <w:highlight w:val="yellow"/>
          <w:lang w:val="es-MX"/>
        </w:rPr>
      </w:pPr>
    </w:p>
    <w:p w14:paraId="7130352E" w14:textId="77777777" w:rsidR="00471C1C" w:rsidRPr="0039371B" w:rsidRDefault="00471C1C" w:rsidP="009D5C48">
      <w:pPr>
        <w:pStyle w:val="TEXTONORMAL"/>
        <w:rPr>
          <w:highlight w:val="yellow"/>
          <w:lang w:val="es-MX"/>
        </w:rPr>
      </w:pPr>
    </w:p>
    <w:p w14:paraId="6175265C" w14:textId="77777777" w:rsidR="00471C1C" w:rsidRPr="0039371B" w:rsidRDefault="00471C1C" w:rsidP="009D5C48">
      <w:pPr>
        <w:pStyle w:val="TEXTONORMAL"/>
        <w:rPr>
          <w:highlight w:val="yellow"/>
          <w:lang w:val="es-MX"/>
        </w:rPr>
      </w:pPr>
    </w:p>
    <w:p w14:paraId="664D92FA" w14:textId="77777777" w:rsidR="00471C1C" w:rsidRPr="0039371B" w:rsidRDefault="00471C1C" w:rsidP="009D5C48">
      <w:pPr>
        <w:pStyle w:val="TEXTONORMAL"/>
        <w:rPr>
          <w:highlight w:val="yellow"/>
          <w:lang w:val="es-MX"/>
        </w:rPr>
      </w:pPr>
    </w:p>
    <w:p w14:paraId="490C6ED1" w14:textId="77777777" w:rsidR="00471C1C" w:rsidRPr="0039371B" w:rsidRDefault="00471C1C" w:rsidP="009D5C48">
      <w:pPr>
        <w:pStyle w:val="TEXTONORMAL"/>
        <w:rPr>
          <w:highlight w:val="yellow"/>
          <w:lang w:val="es-MX"/>
        </w:rPr>
      </w:pPr>
    </w:p>
    <w:p w14:paraId="7D041446" w14:textId="77777777" w:rsidR="00471C1C" w:rsidRPr="0039371B" w:rsidRDefault="00471C1C" w:rsidP="009D5C48">
      <w:pPr>
        <w:pStyle w:val="TEXTONORMAL"/>
        <w:rPr>
          <w:highlight w:val="yellow"/>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307"/>
        <w:gridCol w:w="961"/>
        <w:gridCol w:w="1165"/>
        <w:gridCol w:w="1939"/>
        <w:gridCol w:w="1551"/>
      </w:tblGrid>
      <w:tr w:rsidR="00471C1C" w:rsidRPr="0039371B" w14:paraId="348C5FAC"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208AC528"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Reserva</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06BA4F99"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Cifras en pesos al 31 de diciembre 2021</w:t>
            </w:r>
          </w:p>
        </w:tc>
      </w:tr>
      <w:tr w:rsidR="00471C1C" w:rsidRPr="0039371B" w14:paraId="65780F7C" w14:textId="77777777" w:rsidTr="009A4968">
        <w:trPr>
          <w:trHeight w:val="41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083F2114" w14:textId="77777777" w:rsidR="00471C1C" w:rsidRPr="004A214E" w:rsidRDefault="00471C1C" w:rsidP="009A4968">
            <w:pPr>
              <w:spacing w:after="0" w:line="240" w:lineRule="auto"/>
              <w:jc w:val="center"/>
              <w:rPr>
                <w:rFonts w:ascii="Montserrat" w:hAnsi="Montserrat"/>
                <w:b/>
                <w:color w:val="FFFFFF"/>
                <w:sz w:val="15"/>
                <w:szCs w:val="15"/>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8E4BCB3"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A282752" w14:textId="77777777" w:rsidR="00471C1C" w:rsidRPr="004A214E" w:rsidRDefault="00471C1C" w:rsidP="009A4968">
            <w:pPr>
              <w:spacing w:after="0" w:line="240" w:lineRule="exact"/>
              <w:rPr>
                <w:rFonts w:ascii="Montserrat" w:hAnsi="Montserrat"/>
                <w:b/>
                <w:color w:val="FFFFFF"/>
                <w:sz w:val="15"/>
                <w:szCs w:val="15"/>
              </w:rPr>
            </w:pPr>
            <w:r w:rsidRPr="004A214E">
              <w:rPr>
                <w:rFonts w:ascii="Montserrat" w:hAnsi="Montserrat"/>
                <w:b/>
                <w:color w:val="FFFFFF"/>
                <w:sz w:val="15"/>
                <w:szCs w:val="15"/>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1795E36"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Deterioro registrado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58202D56" w14:textId="77777777" w:rsidR="00471C1C" w:rsidRPr="004A214E" w:rsidRDefault="00471C1C" w:rsidP="009A4968">
            <w:pPr>
              <w:spacing w:after="0" w:line="240" w:lineRule="exact"/>
              <w:jc w:val="center"/>
              <w:rPr>
                <w:rFonts w:ascii="Montserrat" w:hAnsi="Montserrat"/>
                <w:b/>
                <w:color w:val="FFFFFF"/>
                <w:sz w:val="15"/>
                <w:szCs w:val="15"/>
              </w:rPr>
            </w:pPr>
            <w:r w:rsidRPr="004A214E">
              <w:rPr>
                <w:rFonts w:ascii="Montserrat" w:hAnsi="Montserrat"/>
                <w:b/>
                <w:color w:val="FFFFFF"/>
                <w:sz w:val="15"/>
                <w:szCs w:val="15"/>
              </w:rPr>
              <w:t>Saldo contable</w:t>
            </w:r>
          </w:p>
        </w:tc>
      </w:tr>
      <w:tr w:rsidR="00471C1C" w:rsidRPr="0039371B" w14:paraId="0C4532B5" w14:textId="77777777" w:rsidTr="009A4968">
        <w:tc>
          <w:tcPr>
            <w:tcW w:w="0" w:type="auto"/>
            <w:tcBorders>
              <w:top w:val="double" w:sz="12" w:space="0" w:color="808080"/>
              <w:left w:val="nil"/>
              <w:bottom w:val="nil"/>
              <w:right w:val="nil"/>
            </w:tcBorders>
            <w:shd w:val="clear" w:color="auto" w:fill="F2F2F2"/>
            <w:hideMark/>
          </w:tcPr>
          <w:p w14:paraId="49F700AE" w14:textId="77777777" w:rsidR="00471C1C" w:rsidRPr="004A214E" w:rsidRDefault="00471C1C" w:rsidP="009A4968">
            <w:pPr>
              <w:tabs>
                <w:tab w:val="right" w:pos="4120"/>
              </w:tabs>
              <w:spacing w:after="0" w:line="240" w:lineRule="exact"/>
              <w:rPr>
                <w:rFonts w:ascii="Montserrat" w:hAnsi="Montserrat"/>
                <w:b/>
                <w:sz w:val="15"/>
                <w:szCs w:val="15"/>
              </w:rPr>
            </w:pPr>
            <w:r w:rsidRPr="004A214E">
              <w:rPr>
                <w:rFonts w:ascii="Montserrat" w:hAnsi="Montserrat"/>
                <w:b/>
                <w:sz w:val="15"/>
                <w:szCs w:val="15"/>
              </w:rPr>
              <w:t>RFA-SRT</w:t>
            </w:r>
          </w:p>
        </w:tc>
        <w:tc>
          <w:tcPr>
            <w:tcW w:w="0" w:type="auto"/>
            <w:tcBorders>
              <w:top w:val="double" w:sz="12" w:space="0" w:color="808080"/>
              <w:left w:val="nil"/>
              <w:bottom w:val="nil"/>
              <w:right w:val="nil"/>
            </w:tcBorders>
            <w:shd w:val="clear" w:color="auto" w:fill="F2F2F2"/>
            <w:vAlign w:val="bottom"/>
          </w:tcPr>
          <w:p w14:paraId="23E1FDFC"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2FD9802B"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4616C05F"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71DED2AD" w14:textId="77777777" w:rsidR="00471C1C" w:rsidRPr="004A214E" w:rsidRDefault="00471C1C" w:rsidP="009A4968">
            <w:pPr>
              <w:spacing w:after="0" w:line="240" w:lineRule="exact"/>
              <w:jc w:val="right"/>
              <w:rPr>
                <w:rFonts w:ascii="Montserrat" w:hAnsi="Montserrat"/>
                <w:sz w:val="15"/>
                <w:szCs w:val="15"/>
              </w:rPr>
            </w:pPr>
          </w:p>
        </w:tc>
      </w:tr>
      <w:tr w:rsidR="00471C1C" w:rsidRPr="0039371B" w14:paraId="76C3B276" w14:textId="77777777" w:rsidTr="009A4968">
        <w:tc>
          <w:tcPr>
            <w:tcW w:w="0" w:type="auto"/>
            <w:tcBorders>
              <w:top w:val="nil"/>
              <w:left w:val="nil"/>
              <w:bottom w:val="nil"/>
              <w:right w:val="nil"/>
            </w:tcBorders>
            <w:shd w:val="clear" w:color="auto" w:fill="F2F2F2"/>
            <w:hideMark/>
          </w:tcPr>
          <w:p w14:paraId="55B706F8"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6993414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6,895,191 </w:t>
            </w:r>
          </w:p>
        </w:tc>
        <w:tc>
          <w:tcPr>
            <w:tcW w:w="0" w:type="auto"/>
            <w:tcBorders>
              <w:top w:val="nil"/>
              <w:left w:val="nil"/>
              <w:bottom w:val="nil"/>
              <w:right w:val="nil"/>
            </w:tcBorders>
            <w:shd w:val="clear" w:color="auto" w:fill="F2F2F2"/>
            <w:vAlign w:val="bottom"/>
            <w:hideMark/>
          </w:tcPr>
          <w:p w14:paraId="513CB4FC"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19,375,486.7</w:t>
            </w:r>
          </w:p>
        </w:tc>
        <w:tc>
          <w:tcPr>
            <w:tcW w:w="0" w:type="auto"/>
            <w:tcBorders>
              <w:top w:val="nil"/>
              <w:left w:val="nil"/>
              <w:bottom w:val="nil"/>
              <w:right w:val="nil"/>
            </w:tcBorders>
            <w:shd w:val="clear" w:color="auto" w:fill="F2F2F2"/>
            <w:vAlign w:val="bottom"/>
            <w:hideMark/>
          </w:tcPr>
          <w:p w14:paraId="20F8001D"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(18,683,033.6)</w:t>
            </w:r>
          </w:p>
        </w:tc>
        <w:tc>
          <w:tcPr>
            <w:tcW w:w="0" w:type="auto"/>
            <w:tcBorders>
              <w:top w:val="nil"/>
              <w:left w:val="nil"/>
              <w:bottom w:val="nil"/>
              <w:right w:val="nil"/>
            </w:tcBorders>
            <w:shd w:val="clear" w:color="auto" w:fill="F2F2F2"/>
            <w:vAlign w:val="bottom"/>
            <w:hideMark/>
          </w:tcPr>
          <w:p w14:paraId="652926D5"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692,453.1 </w:t>
            </w:r>
          </w:p>
        </w:tc>
      </w:tr>
      <w:tr w:rsidR="00471C1C" w:rsidRPr="0039371B" w14:paraId="4C0FC07E" w14:textId="77777777" w:rsidTr="009A4968">
        <w:tc>
          <w:tcPr>
            <w:tcW w:w="0" w:type="auto"/>
            <w:tcBorders>
              <w:top w:val="nil"/>
              <w:left w:val="nil"/>
              <w:bottom w:val="nil"/>
              <w:right w:val="nil"/>
            </w:tcBorders>
            <w:shd w:val="clear" w:color="auto" w:fill="F2F2F2"/>
            <w:hideMark/>
          </w:tcPr>
          <w:p w14:paraId="4CA24716"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II Serie A</w:t>
            </w:r>
          </w:p>
        </w:tc>
        <w:tc>
          <w:tcPr>
            <w:tcW w:w="0" w:type="auto"/>
            <w:tcBorders>
              <w:top w:val="nil"/>
              <w:left w:val="nil"/>
              <w:bottom w:val="nil"/>
              <w:right w:val="nil"/>
            </w:tcBorders>
            <w:shd w:val="clear" w:color="auto" w:fill="F2F2F2"/>
            <w:vAlign w:val="bottom"/>
            <w:hideMark/>
          </w:tcPr>
          <w:p w14:paraId="088DF854"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11,945,444 </w:t>
            </w:r>
          </w:p>
        </w:tc>
        <w:tc>
          <w:tcPr>
            <w:tcW w:w="0" w:type="auto"/>
            <w:tcBorders>
              <w:top w:val="nil"/>
              <w:left w:val="nil"/>
              <w:bottom w:val="nil"/>
              <w:right w:val="nil"/>
            </w:tcBorders>
            <w:shd w:val="clear" w:color="auto" w:fill="F2F2F2"/>
            <w:vAlign w:val="bottom"/>
            <w:hideMark/>
          </w:tcPr>
          <w:p w14:paraId="497C601E"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33,686,152.</w:t>
            </w:r>
            <w:r w:rsidR="00A736EC">
              <w:rPr>
                <w:rFonts w:ascii="Montserrat" w:hAnsi="Montserrat"/>
                <w:sz w:val="15"/>
                <w:szCs w:val="15"/>
              </w:rPr>
              <w:t>1</w:t>
            </w:r>
          </w:p>
        </w:tc>
        <w:tc>
          <w:tcPr>
            <w:tcW w:w="0" w:type="auto"/>
            <w:tcBorders>
              <w:top w:val="nil"/>
              <w:left w:val="nil"/>
              <w:bottom w:val="nil"/>
              <w:right w:val="nil"/>
            </w:tcBorders>
            <w:shd w:val="clear" w:color="auto" w:fill="F2F2F2"/>
            <w:vAlign w:val="bottom"/>
            <w:hideMark/>
          </w:tcPr>
          <w:p w14:paraId="4380422E"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(20,651,91</w:t>
            </w:r>
            <w:r w:rsidR="00A736EC">
              <w:rPr>
                <w:rFonts w:ascii="Montserrat" w:hAnsi="Montserrat"/>
                <w:sz w:val="15"/>
                <w:szCs w:val="15"/>
              </w:rPr>
              <w:t>9.0</w:t>
            </w:r>
            <w:r w:rsidRPr="004A214E">
              <w:rPr>
                <w:rFonts w:ascii="Montserrat" w:hAnsi="Montserrat"/>
                <w:sz w:val="15"/>
                <w:szCs w:val="15"/>
              </w:rPr>
              <w:t>)</w:t>
            </w:r>
          </w:p>
        </w:tc>
        <w:tc>
          <w:tcPr>
            <w:tcW w:w="0" w:type="auto"/>
            <w:tcBorders>
              <w:top w:val="nil"/>
              <w:left w:val="nil"/>
              <w:bottom w:val="nil"/>
              <w:right w:val="nil"/>
            </w:tcBorders>
            <w:shd w:val="clear" w:color="auto" w:fill="F2F2F2"/>
            <w:vAlign w:val="bottom"/>
            <w:hideMark/>
          </w:tcPr>
          <w:p w14:paraId="2A77AC0A"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13,034,233.</w:t>
            </w:r>
            <w:r w:rsidR="00A736EC">
              <w:rPr>
                <w:rFonts w:ascii="Montserrat" w:hAnsi="Montserrat"/>
                <w:sz w:val="15"/>
                <w:szCs w:val="15"/>
              </w:rPr>
              <w:t>1</w:t>
            </w:r>
            <w:r w:rsidRPr="004A214E">
              <w:rPr>
                <w:rFonts w:ascii="Montserrat" w:hAnsi="Montserrat"/>
                <w:sz w:val="15"/>
                <w:szCs w:val="15"/>
              </w:rPr>
              <w:t xml:space="preserve"> </w:t>
            </w:r>
          </w:p>
        </w:tc>
      </w:tr>
      <w:tr w:rsidR="00471C1C" w:rsidRPr="0039371B" w14:paraId="2BFC05D1" w14:textId="77777777" w:rsidTr="009A4968">
        <w:tc>
          <w:tcPr>
            <w:tcW w:w="0" w:type="auto"/>
            <w:tcBorders>
              <w:top w:val="nil"/>
              <w:left w:val="nil"/>
              <w:bottom w:val="nil"/>
              <w:right w:val="nil"/>
            </w:tcBorders>
            <w:shd w:val="clear" w:color="auto" w:fill="F2F2F2"/>
            <w:hideMark/>
          </w:tcPr>
          <w:p w14:paraId="135878D8" w14:textId="77777777" w:rsidR="00471C1C" w:rsidRPr="004A214E" w:rsidRDefault="00471C1C" w:rsidP="009A4968">
            <w:pPr>
              <w:spacing w:after="0" w:line="240" w:lineRule="exact"/>
              <w:rPr>
                <w:rFonts w:ascii="Montserrat" w:hAnsi="Montserrat"/>
                <w:b/>
                <w:sz w:val="15"/>
                <w:szCs w:val="15"/>
              </w:rPr>
            </w:pPr>
            <w:r w:rsidRPr="004A214E">
              <w:rPr>
                <w:rFonts w:ascii="Montserrat" w:hAnsi="Montserrat"/>
                <w:b/>
                <w:sz w:val="15"/>
                <w:szCs w:val="15"/>
              </w:rPr>
              <w:t>RJP S1</w:t>
            </w:r>
          </w:p>
        </w:tc>
        <w:tc>
          <w:tcPr>
            <w:tcW w:w="0" w:type="auto"/>
            <w:tcBorders>
              <w:top w:val="nil"/>
              <w:left w:val="nil"/>
              <w:bottom w:val="nil"/>
              <w:right w:val="nil"/>
            </w:tcBorders>
            <w:shd w:val="clear" w:color="auto" w:fill="F2F2F2"/>
            <w:vAlign w:val="bottom"/>
          </w:tcPr>
          <w:p w14:paraId="4420AC7E"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34863631"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1BD9B62B" w14:textId="77777777" w:rsidR="00471C1C" w:rsidRPr="004A214E"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bottom"/>
          </w:tcPr>
          <w:p w14:paraId="0A2E4439" w14:textId="77777777" w:rsidR="00471C1C" w:rsidRPr="004A214E" w:rsidRDefault="00471C1C" w:rsidP="009A4968">
            <w:pPr>
              <w:spacing w:after="0" w:line="240" w:lineRule="exact"/>
              <w:jc w:val="right"/>
              <w:rPr>
                <w:rFonts w:ascii="Montserrat" w:hAnsi="Montserrat"/>
                <w:sz w:val="15"/>
                <w:szCs w:val="15"/>
              </w:rPr>
            </w:pPr>
          </w:p>
        </w:tc>
      </w:tr>
      <w:tr w:rsidR="00471C1C" w:rsidRPr="0039371B" w14:paraId="6D27D794" w14:textId="77777777" w:rsidTr="009A4968">
        <w:trPr>
          <w:trHeight w:val="87"/>
        </w:trPr>
        <w:tc>
          <w:tcPr>
            <w:tcW w:w="0" w:type="auto"/>
            <w:tcBorders>
              <w:top w:val="nil"/>
              <w:left w:val="nil"/>
              <w:bottom w:val="nil"/>
              <w:right w:val="nil"/>
            </w:tcBorders>
            <w:shd w:val="clear" w:color="auto" w:fill="F2F2F2"/>
            <w:hideMark/>
          </w:tcPr>
          <w:p w14:paraId="7E77E4DC"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5893C621"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6,895,192 </w:t>
            </w:r>
          </w:p>
        </w:tc>
        <w:tc>
          <w:tcPr>
            <w:tcW w:w="0" w:type="auto"/>
            <w:tcBorders>
              <w:top w:val="nil"/>
              <w:left w:val="nil"/>
              <w:bottom w:val="nil"/>
              <w:right w:val="nil"/>
            </w:tcBorders>
            <w:shd w:val="clear" w:color="auto" w:fill="F2F2F2"/>
            <w:vAlign w:val="bottom"/>
            <w:hideMark/>
          </w:tcPr>
          <w:p w14:paraId="3824C3B8"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19,375,489.5</w:t>
            </w:r>
          </w:p>
        </w:tc>
        <w:tc>
          <w:tcPr>
            <w:tcW w:w="0" w:type="auto"/>
            <w:tcBorders>
              <w:top w:val="nil"/>
              <w:left w:val="nil"/>
              <w:bottom w:val="nil"/>
              <w:right w:val="nil"/>
            </w:tcBorders>
            <w:shd w:val="clear" w:color="auto" w:fill="F2F2F2"/>
            <w:vAlign w:val="bottom"/>
            <w:hideMark/>
          </w:tcPr>
          <w:p w14:paraId="75753A9D"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(18,683,036.8)</w:t>
            </w:r>
          </w:p>
        </w:tc>
        <w:tc>
          <w:tcPr>
            <w:tcW w:w="0" w:type="auto"/>
            <w:tcBorders>
              <w:top w:val="nil"/>
              <w:left w:val="nil"/>
              <w:bottom w:val="nil"/>
              <w:right w:val="nil"/>
            </w:tcBorders>
            <w:shd w:val="clear" w:color="auto" w:fill="F2F2F2"/>
            <w:vAlign w:val="bottom"/>
            <w:hideMark/>
          </w:tcPr>
          <w:p w14:paraId="2D5691E5"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692,452.7 </w:t>
            </w:r>
          </w:p>
        </w:tc>
      </w:tr>
      <w:tr w:rsidR="00471C1C" w:rsidRPr="0039371B" w14:paraId="6DEBFFF8" w14:textId="77777777" w:rsidTr="009A4968">
        <w:trPr>
          <w:trHeight w:val="87"/>
        </w:trPr>
        <w:tc>
          <w:tcPr>
            <w:tcW w:w="0" w:type="auto"/>
            <w:tcBorders>
              <w:top w:val="nil"/>
              <w:left w:val="nil"/>
              <w:bottom w:val="single" w:sz="12" w:space="0" w:color="808080"/>
              <w:right w:val="nil"/>
            </w:tcBorders>
            <w:shd w:val="clear" w:color="auto" w:fill="F2F2F2"/>
            <w:hideMark/>
          </w:tcPr>
          <w:p w14:paraId="2C863D5B" w14:textId="77777777" w:rsidR="00471C1C" w:rsidRPr="004A214E" w:rsidRDefault="00471C1C" w:rsidP="009A4968">
            <w:pPr>
              <w:spacing w:after="0" w:line="240" w:lineRule="exact"/>
              <w:rPr>
                <w:rFonts w:ascii="Montserrat" w:hAnsi="Montserrat"/>
                <w:sz w:val="15"/>
                <w:szCs w:val="15"/>
              </w:rPr>
            </w:pPr>
            <w:r w:rsidRPr="004A214E">
              <w:rPr>
                <w:rFonts w:ascii="Montserrat" w:hAnsi="Montserrat"/>
                <w:sz w:val="15"/>
                <w:szCs w:val="15"/>
              </w:rPr>
              <w:t>Clase II Serie A</w:t>
            </w:r>
          </w:p>
        </w:tc>
        <w:tc>
          <w:tcPr>
            <w:tcW w:w="0" w:type="auto"/>
            <w:tcBorders>
              <w:top w:val="nil"/>
              <w:left w:val="nil"/>
              <w:bottom w:val="single" w:sz="12" w:space="0" w:color="808080"/>
              <w:right w:val="nil"/>
            </w:tcBorders>
            <w:shd w:val="clear" w:color="auto" w:fill="F2F2F2"/>
            <w:vAlign w:val="bottom"/>
            <w:hideMark/>
          </w:tcPr>
          <w:p w14:paraId="34EC97D0"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11,945,445 </w:t>
            </w:r>
          </w:p>
        </w:tc>
        <w:tc>
          <w:tcPr>
            <w:tcW w:w="0" w:type="auto"/>
            <w:tcBorders>
              <w:top w:val="nil"/>
              <w:left w:val="nil"/>
              <w:bottom w:val="single" w:sz="12" w:space="0" w:color="808080"/>
              <w:right w:val="nil"/>
            </w:tcBorders>
            <w:shd w:val="clear" w:color="auto" w:fill="F2F2F2"/>
            <w:vAlign w:val="bottom"/>
            <w:hideMark/>
          </w:tcPr>
          <w:p w14:paraId="7388D289"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33,686,154.9</w:t>
            </w:r>
          </w:p>
        </w:tc>
        <w:tc>
          <w:tcPr>
            <w:tcW w:w="0" w:type="auto"/>
            <w:tcBorders>
              <w:top w:val="nil"/>
              <w:left w:val="nil"/>
              <w:bottom w:val="single" w:sz="12" w:space="0" w:color="808080"/>
              <w:right w:val="nil"/>
            </w:tcBorders>
            <w:shd w:val="clear" w:color="auto" w:fill="F2F2F2"/>
            <w:vAlign w:val="bottom"/>
            <w:hideMark/>
          </w:tcPr>
          <w:p w14:paraId="6301D903"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(20,651,91</w:t>
            </w:r>
            <w:r w:rsidR="00A736EC">
              <w:rPr>
                <w:rFonts w:ascii="Montserrat" w:hAnsi="Montserrat"/>
                <w:sz w:val="15"/>
                <w:szCs w:val="15"/>
              </w:rPr>
              <w:t>9.0</w:t>
            </w:r>
            <w:r w:rsidRPr="004A214E">
              <w:rPr>
                <w:rFonts w:ascii="Montserrat" w:hAnsi="Montserrat"/>
                <w:sz w:val="15"/>
                <w:szCs w:val="15"/>
              </w:rPr>
              <w:t>)</w:t>
            </w:r>
          </w:p>
        </w:tc>
        <w:tc>
          <w:tcPr>
            <w:tcW w:w="0" w:type="auto"/>
            <w:tcBorders>
              <w:top w:val="nil"/>
              <w:left w:val="nil"/>
              <w:bottom w:val="single" w:sz="12" w:space="0" w:color="808080"/>
              <w:right w:val="nil"/>
            </w:tcBorders>
            <w:shd w:val="clear" w:color="auto" w:fill="F2F2F2"/>
            <w:vAlign w:val="bottom"/>
            <w:hideMark/>
          </w:tcPr>
          <w:p w14:paraId="58EF430C" w14:textId="77777777" w:rsidR="00471C1C" w:rsidRPr="004A214E" w:rsidRDefault="00471C1C" w:rsidP="009A4968">
            <w:pPr>
              <w:spacing w:after="0" w:line="240" w:lineRule="exact"/>
              <w:jc w:val="right"/>
              <w:rPr>
                <w:rFonts w:ascii="Montserrat" w:hAnsi="Montserrat"/>
                <w:sz w:val="15"/>
                <w:szCs w:val="15"/>
              </w:rPr>
            </w:pPr>
            <w:r w:rsidRPr="004A214E">
              <w:rPr>
                <w:rFonts w:ascii="Montserrat" w:hAnsi="Montserrat"/>
                <w:sz w:val="15"/>
                <w:szCs w:val="15"/>
              </w:rPr>
              <w:t xml:space="preserve">            13,034,235.9 </w:t>
            </w:r>
          </w:p>
        </w:tc>
      </w:tr>
    </w:tbl>
    <w:p w14:paraId="11C7BA6B" w14:textId="77777777" w:rsidR="00471C1C" w:rsidRPr="0039371B" w:rsidRDefault="00471C1C" w:rsidP="009D5C48">
      <w:pPr>
        <w:pStyle w:val="TEXTONORMAL"/>
        <w:rPr>
          <w:highlight w:val="yellow"/>
          <w:lang w:val="es-MX"/>
        </w:rPr>
      </w:pPr>
    </w:p>
    <w:p w14:paraId="36474EF2" w14:textId="77777777" w:rsidR="00471C1C" w:rsidRPr="0039371B" w:rsidRDefault="00471C1C" w:rsidP="009D5C48">
      <w:pPr>
        <w:pStyle w:val="TEXTONORMAL"/>
        <w:rPr>
          <w:highlight w:val="yellow"/>
          <w:lang w:val="es-MX"/>
        </w:rPr>
      </w:pPr>
    </w:p>
    <w:p w14:paraId="68AC7CF8" w14:textId="77777777" w:rsidR="00471C1C" w:rsidRPr="0039371B" w:rsidRDefault="00471C1C" w:rsidP="009D5C48">
      <w:pPr>
        <w:pStyle w:val="TEXTONORMAL"/>
        <w:rPr>
          <w:highlight w:val="yellow"/>
          <w:lang w:val="es-MX"/>
        </w:rPr>
      </w:pPr>
    </w:p>
    <w:p w14:paraId="3C4314E1" w14:textId="77777777" w:rsidR="00471C1C" w:rsidRPr="0039371B" w:rsidRDefault="00471C1C" w:rsidP="009D5C48">
      <w:pPr>
        <w:pStyle w:val="TEXTONORMAL"/>
        <w:rPr>
          <w:highlight w:val="yellow"/>
          <w:lang w:val="es-MX"/>
        </w:rPr>
      </w:pPr>
    </w:p>
    <w:p w14:paraId="7484CCF5" w14:textId="77777777" w:rsidR="00471C1C" w:rsidRPr="0039371B" w:rsidRDefault="00471C1C" w:rsidP="009D5C48">
      <w:pPr>
        <w:pStyle w:val="TEXTONORMAL"/>
        <w:rPr>
          <w:highlight w:val="yellow"/>
          <w:lang w:val="es-MX"/>
        </w:rPr>
      </w:pPr>
    </w:p>
    <w:p w14:paraId="25B7CF50" w14:textId="77777777" w:rsidR="00471C1C" w:rsidRPr="0039371B" w:rsidRDefault="00471C1C" w:rsidP="009D5C48">
      <w:pPr>
        <w:pStyle w:val="TEXTONORMAL"/>
        <w:rPr>
          <w:highlight w:val="yellow"/>
          <w:lang w:val="es-MX"/>
        </w:rPr>
      </w:pPr>
    </w:p>
    <w:p w14:paraId="1798F0BA" w14:textId="77777777" w:rsidR="008C2F03" w:rsidRDefault="008C2F03" w:rsidP="008C2F03">
      <w:pPr>
        <w:pStyle w:val="TEXTONORMAL"/>
        <w:spacing w:after="0"/>
      </w:pPr>
    </w:p>
    <w:p w14:paraId="6157E00B" w14:textId="77777777" w:rsidR="008C2F03" w:rsidRDefault="008C2F03" w:rsidP="008C2F03">
      <w:pPr>
        <w:pStyle w:val="TEXTONORMAL"/>
        <w:spacing w:after="0"/>
      </w:pPr>
    </w:p>
    <w:p w14:paraId="033AE2FC" w14:textId="77777777" w:rsidR="008C2F03" w:rsidRDefault="008C2F03" w:rsidP="008C2F03">
      <w:pPr>
        <w:pStyle w:val="TEXTONORMAL"/>
        <w:spacing w:after="0"/>
      </w:pPr>
    </w:p>
    <w:p w14:paraId="0522A0FC" w14:textId="77777777" w:rsidR="008C2F03" w:rsidRDefault="008C2F03" w:rsidP="008C2F03">
      <w:pPr>
        <w:pStyle w:val="TEXTONORMAL"/>
        <w:spacing w:after="0"/>
      </w:pPr>
    </w:p>
    <w:p w14:paraId="1C86A94F" w14:textId="77777777" w:rsidR="008C2F03" w:rsidRDefault="008C2F03" w:rsidP="008C2F03">
      <w:pPr>
        <w:pStyle w:val="TEXTONORMAL"/>
        <w:spacing w:after="0"/>
      </w:pPr>
    </w:p>
    <w:p w14:paraId="751A0A49" w14:textId="77777777" w:rsidR="008C2F03" w:rsidRDefault="008C2F03" w:rsidP="008C2F03">
      <w:pPr>
        <w:pStyle w:val="TEXTONORMAL"/>
        <w:spacing w:after="0"/>
      </w:pPr>
    </w:p>
    <w:p w14:paraId="0309983C" w14:textId="77777777" w:rsidR="008C2F03" w:rsidRDefault="008C2F03" w:rsidP="008C2F03">
      <w:pPr>
        <w:pStyle w:val="TEXTONORMAL"/>
        <w:spacing w:after="0"/>
      </w:pPr>
    </w:p>
    <w:p w14:paraId="2221DB7D" w14:textId="77777777" w:rsidR="008C2F03" w:rsidRDefault="008C2F03" w:rsidP="008C2F03">
      <w:pPr>
        <w:pStyle w:val="TEXTONORMAL"/>
        <w:spacing w:after="0"/>
      </w:pPr>
    </w:p>
    <w:p w14:paraId="07EE0BE7" w14:textId="77777777" w:rsidR="008C2F03" w:rsidRDefault="008C2F03" w:rsidP="008C2F03">
      <w:pPr>
        <w:pStyle w:val="TEXTONORMAL"/>
        <w:spacing w:after="0"/>
      </w:pPr>
    </w:p>
    <w:p w14:paraId="524B5DF4" w14:textId="77777777" w:rsidR="008C2F03" w:rsidRDefault="008C2F03" w:rsidP="008C2F03">
      <w:pPr>
        <w:pStyle w:val="TEXTONORMAL"/>
        <w:spacing w:after="0"/>
      </w:pPr>
    </w:p>
    <w:p w14:paraId="30604CF5" w14:textId="77777777" w:rsidR="008C2F03" w:rsidRDefault="008C2F03" w:rsidP="008C2F03">
      <w:pPr>
        <w:pStyle w:val="TEXTONORMAL"/>
        <w:spacing w:after="0"/>
      </w:pPr>
    </w:p>
    <w:p w14:paraId="79751B62" w14:textId="77777777" w:rsidR="008C2F03" w:rsidRDefault="008C2F03" w:rsidP="008C2F03">
      <w:pPr>
        <w:pStyle w:val="TEXTONORMAL"/>
        <w:spacing w:after="0"/>
      </w:pPr>
    </w:p>
    <w:p w14:paraId="1CA86A47" w14:textId="77777777" w:rsidR="008C2F03" w:rsidRDefault="008C2F03" w:rsidP="008C2F03">
      <w:pPr>
        <w:pStyle w:val="TEXTONORMAL"/>
        <w:spacing w:after="0"/>
      </w:pPr>
    </w:p>
    <w:p w14:paraId="0401DA06" w14:textId="77777777" w:rsidR="008C2F03" w:rsidRDefault="008C2F03" w:rsidP="008C2F03">
      <w:pPr>
        <w:pStyle w:val="TEXTONORMAL"/>
        <w:spacing w:after="0"/>
      </w:pPr>
    </w:p>
    <w:p w14:paraId="5615BC72" w14:textId="77777777" w:rsidR="008C2F03" w:rsidRDefault="008C2F03" w:rsidP="008C2F03">
      <w:pPr>
        <w:pStyle w:val="TEXTONORMAL"/>
        <w:spacing w:after="0"/>
      </w:pPr>
    </w:p>
    <w:p w14:paraId="1AEB37F5" w14:textId="77777777" w:rsidR="008C2F03" w:rsidRDefault="008C2F03" w:rsidP="008C2F03">
      <w:pPr>
        <w:pStyle w:val="TEXTONORMAL"/>
        <w:spacing w:after="0"/>
        <w:rPr>
          <w:lang w:val="es-MX"/>
        </w:rPr>
      </w:pPr>
      <w:r w:rsidRPr="00BE115F">
        <w:lastRenderedPageBreak/>
        <w:t xml:space="preserve">Al </w:t>
      </w:r>
      <w:r>
        <w:t xml:space="preserve">30 de septiembre de 2022 </w:t>
      </w:r>
      <w:r w:rsidRPr="00BE115F">
        <w:t>y</w:t>
      </w:r>
      <w:r>
        <w:t xml:space="preserve"> al </w:t>
      </w:r>
      <w:r w:rsidRPr="00BE115F">
        <w:t>31 de diciembre de 20</w:t>
      </w:r>
      <w:r>
        <w:t>21</w:t>
      </w:r>
      <w:r w:rsidRPr="00B06CFA">
        <w:rPr>
          <w:lang w:val="es-MX"/>
        </w:rPr>
        <w:t xml:space="preserve">, las </w:t>
      </w:r>
      <w:r>
        <w:rPr>
          <w:lang w:val="es-MX"/>
        </w:rPr>
        <w:t>R</w:t>
      </w:r>
      <w:r w:rsidRPr="00B06CFA">
        <w:rPr>
          <w:lang w:val="es-MX"/>
        </w:rPr>
        <w:t xml:space="preserve">eservas y el </w:t>
      </w:r>
      <w:r>
        <w:rPr>
          <w:lang w:val="es-MX"/>
        </w:rPr>
        <w:t>F</w:t>
      </w:r>
      <w:r w:rsidRPr="00B06CFA">
        <w:rPr>
          <w:lang w:val="es-MX"/>
        </w:rPr>
        <w:t xml:space="preserve">ondo </w:t>
      </w:r>
      <w:r>
        <w:rPr>
          <w:lang w:val="es-MX"/>
        </w:rPr>
        <w:t>L</w:t>
      </w:r>
      <w:r w:rsidRPr="00B06CFA">
        <w:rPr>
          <w:lang w:val="es-MX"/>
        </w:rPr>
        <w:t>aboral</w:t>
      </w:r>
      <w:r>
        <w:rPr>
          <w:lang w:val="es-MX"/>
        </w:rPr>
        <w:t xml:space="preserve"> </w:t>
      </w:r>
      <w:r w:rsidRPr="00B06CFA">
        <w:rPr>
          <w:lang w:val="es-MX"/>
        </w:rPr>
        <w:t>administrados por el Instituto tuvieron los siguientes movimientos:</w:t>
      </w:r>
    </w:p>
    <w:p w14:paraId="4CCE83FA" w14:textId="77777777" w:rsidR="002C1B01" w:rsidRPr="0039371B" w:rsidRDefault="002C1B01" w:rsidP="009D5C48">
      <w:pPr>
        <w:pStyle w:val="TEXTONORMAL"/>
        <w:rPr>
          <w:highlight w:val="yellow"/>
          <w:lang w:val="es-MX"/>
        </w:rPr>
      </w:pPr>
    </w:p>
    <w:tbl>
      <w:tblPr>
        <w:tblW w:w="13260" w:type="dxa"/>
        <w:tblCellMar>
          <w:left w:w="70" w:type="dxa"/>
          <w:right w:w="70" w:type="dxa"/>
        </w:tblCellMar>
        <w:tblLook w:val="04A0" w:firstRow="1" w:lastRow="0" w:firstColumn="1" w:lastColumn="0" w:noHBand="0" w:noVBand="1"/>
      </w:tblPr>
      <w:tblGrid>
        <w:gridCol w:w="1880"/>
        <w:gridCol w:w="1840"/>
        <w:gridCol w:w="1980"/>
        <w:gridCol w:w="1060"/>
        <w:gridCol w:w="1380"/>
        <w:gridCol w:w="1720"/>
        <w:gridCol w:w="1660"/>
        <w:gridCol w:w="1740"/>
      </w:tblGrid>
      <w:tr w:rsidR="006B4973" w:rsidRPr="006B4973" w14:paraId="3C31D187" w14:textId="77777777" w:rsidTr="00A461CA">
        <w:trPr>
          <w:trHeight w:val="390"/>
        </w:trPr>
        <w:tc>
          <w:tcPr>
            <w:tcW w:w="188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9A9DCB9"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Concepto</w:t>
            </w:r>
          </w:p>
        </w:tc>
        <w:tc>
          <w:tcPr>
            <w:tcW w:w="11380" w:type="dxa"/>
            <w:gridSpan w:val="7"/>
            <w:tcBorders>
              <w:top w:val="single" w:sz="12" w:space="0" w:color="808080"/>
              <w:left w:val="nil"/>
              <w:bottom w:val="single" w:sz="12" w:space="0" w:color="FFFFFF"/>
              <w:right w:val="single" w:sz="12" w:space="0" w:color="FFFFFF"/>
            </w:tcBorders>
            <w:shd w:val="clear" w:color="000000" w:fill="D4C19C"/>
            <w:vAlign w:val="center"/>
            <w:hideMark/>
          </w:tcPr>
          <w:p w14:paraId="748562F2"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Cifras en pesos al 30 de septiembre de 2022</w:t>
            </w:r>
          </w:p>
        </w:tc>
      </w:tr>
      <w:tr w:rsidR="006B4973" w:rsidRPr="006B4973" w14:paraId="0E424F42" w14:textId="77777777" w:rsidTr="00A461CA">
        <w:trPr>
          <w:trHeight w:val="373"/>
        </w:trPr>
        <w:tc>
          <w:tcPr>
            <w:tcW w:w="1880" w:type="dxa"/>
            <w:vMerge/>
            <w:tcBorders>
              <w:top w:val="single" w:sz="12" w:space="0" w:color="808080"/>
              <w:left w:val="single" w:sz="12" w:space="0" w:color="FFFFFF"/>
              <w:bottom w:val="double" w:sz="6" w:space="0" w:color="808080"/>
              <w:right w:val="single" w:sz="12" w:space="0" w:color="FFFFFF"/>
            </w:tcBorders>
            <w:vAlign w:val="center"/>
            <w:hideMark/>
          </w:tcPr>
          <w:p w14:paraId="5E400C5F"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84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5A277AAB"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Saldo Inicial</w:t>
            </w:r>
          </w:p>
        </w:tc>
        <w:tc>
          <w:tcPr>
            <w:tcW w:w="198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3799CA03"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Productos y Gastos Financieros</w:t>
            </w:r>
          </w:p>
        </w:tc>
        <w:tc>
          <w:tcPr>
            <w:tcW w:w="106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21E7B167"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Deterioro</w:t>
            </w:r>
          </w:p>
        </w:tc>
        <w:tc>
          <w:tcPr>
            <w:tcW w:w="138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508D8DDD"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Dividendos</w:t>
            </w:r>
          </w:p>
        </w:tc>
        <w:tc>
          <w:tcPr>
            <w:tcW w:w="1720" w:type="dxa"/>
            <w:tcBorders>
              <w:top w:val="nil"/>
              <w:left w:val="nil"/>
              <w:bottom w:val="nil"/>
              <w:right w:val="nil"/>
            </w:tcBorders>
            <w:shd w:val="clear" w:color="000000" w:fill="D4C19C"/>
            <w:vAlign w:val="center"/>
            <w:hideMark/>
          </w:tcPr>
          <w:p w14:paraId="61884222"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Plusvalía/</w:t>
            </w:r>
          </w:p>
        </w:tc>
        <w:tc>
          <w:tcPr>
            <w:tcW w:w="166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435DECF1"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 xml:space="preserve">Transferencias </w:t>
            </w:r>
          </w:p>
        </w:tc>
        <w:tc>
          <w:tcPr>
            <w:tcW w:w="174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0557A42F"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eastAsia="es-MX"/>
              </w:rPr>
              <w:t xml:space="preserve">Saldo Final </w:t>
            </w:r>
          </w:p>
        </w:tc>
      </w:tr>
      <w:tr w:rsidR="006B4973" w:rsidRPr="006B4973" w14:paraId="2B106502" w14:textId="77777777" w:rsidTr="00A461CA">
        <w:trPr>
          <w:trHeight w:val="355"/>
        </w:trPr>
        <w:tc>
          <w:tcPr>
            <w:tcW w:w="1880" w:type="dxa"/>
            <w:vMerge/>
            <w:tcBorders>
              <w:top w:val="single" w:sz="12" w:space="0" w:color="808080"/>
              <w:left w:val="single" w:sz="12" w:space="0" w:color="FFFFFF"/>
              <w:bottom w:val="double" w:sz="6" w:space="0" w:color="808080"/>
              <w:right w:val="single" w:sz="12" w:space="0" w:color="FFFFFF"/>
            </w:tcBorders>
            <w:vAlign w:val="center"/>
            <w:hideMark/>
          </w:tcPr>
          <w:p w14:paraId="20E74296"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840" w:type="dxa"/>
            <w:vMerge/>
            <w:tcBorders>
              <w:top w:val="nil"/>
              <w:left w:val="single" w:sz="12" w:space="0" w:color="FFFFFF"/>
              <w:bottom w:val="double" w:sz="6" w:space="0" w:color="808080"/>
              <w:right w:val="single" w:sz="12" w:space="0" w:color="FFFFFF"/>
            </w:tcBorders>
            <w:vAlign w:val="center"/>
            <w:hideMark/>
          </w:tcPr>
          <w:p w14:paraId="62F24364"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980" w:type="dxa"/>
            <w:vMerge/>
            <w:tcBorders>
              <w:top w:val="nil"/>
              <w:left w:val="single" w:sz="12" w:space="0" w:color="FFFFFF"/>
              <w:bottom w:val="double" w:sz="6" w:space="0" w:color="808080"/>
              <w:right w:val="single" w:sz="12" w:space="0" w:color="FFFFFF"/>
            </w:tcBorders>
            <w:vAlign w:val="center"/>
            <w:hideMark/>
          </w:tcPr>
          <w:p w14:paraId="03103770"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060" w:type="dxa"/>
            <w:vMerge/>
            <w:tcBorders>
              <w:top w:val="nil"/>
              <w:left w:val="single" w:sz="12" w:space="0" w:color="FFFFFF"/>
              <w:bottom w:val="double" w:sz="6" w:space="0" w:color="808080"/>
              <w:right w:val="single" w:sz="12" w:space="0" w:color="FFFFFF"/>
            </w:tcBorders>
            <w:vAlign w:val="center"/>
            <w:hideMark/>
          </w:tcPr>
          <w:p w14:paraId="202B6A94"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380" w:type="dxa"/>
            <w:vMerge/>
            <w:tcBorders>
              <w:top w:val="nil"/>
              <w:left w:val="single" w:sz="12" w:space="0" w:color="FFFFFF"/>
              <w:bottom w:val="double" w:sz="6" w:space="0" w:color="808080"/>
              <w:right w:val="single" w:sz="12" w:space="0" w:color="FFFFFF"/>
            </w:tcBorders>
            <w:vAlign w:val="center"/>
            <w:hideMark/>
          </w:tcPr>
          <w:p w14:paraId="3CA46DA9"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20" w:type="dxa"/>
            <w:tcBorders>
              <w:top w:val="nil"/>
              <w:left w:val="nil"/>
              <w:bottom w:val="nil"/>
              <w:right w:val="nil"/>
            </w:tcBorders>
            <w:shd w:val="clear" w:color="000000" w:fill="D4C19C"/>
            <w:vAlign w:val="center"/>
            <w:hideMark/>
          </w:tcPr>
          <w:p w14:paraId="0B0FB83A"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val="es-MX" w:eastAsia="es-MX"/>
              </w:rPr>
              <w:t>Minusvalía</w:t>
            </w:r>
          </w:p>
        </w:tc>
        <w:tc>
          <w:tcPr>
            <w:tcW w:w="1660" w:type="dxa"/>
            <w:vMerge/>
            <w:tcBorders>
              <w:top w:val="nil"/>
              <w:left w:val="single" w:sz="12" w:space="0" w:color="FFFFFF"/>
              <w:bottom w:val="double" w:sz="6" w:space="0" w:color="808080"/>
              <w:right w:val="single" w:sz="12" w:space="0" w:color="FFFFFF"/>
            </w:tcBorders>
            <w:vAlign w:val="center"/>
            <w:hideMark/>
          </w:tcPr>
          <w:p w14:paraId="751B35A6"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40" w:type="dxa"/>
            <w:vMerge/>
            <w:tcBorders>
              <w:top w:val="nil"/>
              <w:left w:val="single" w:sz="12" w:space="0" w:color="FFFFFF"/>
              <w:bottom w:val="double" w:sz="6" w:space="0" w:color="808080"/>
              <w:right w:val="single" w:sz="12" w:space="0" w:color="FFFFFF"/>
            </w:tcBorders>
            <w:vAlign w:val="center"/>
            <w:hideMark/>
          </w:tcPr>
          <w:p w14:paraId="2FE6246E"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r>
      <w:tr w:rsidR="006B4973" w:rsidRPr="006B4973" w14:paraId="0E306EB8" w14:textId="77777777" w:rsidTr="00A461CA">
        <w:trPr>
          <w:trHeight w:val="355"/>
        </w:trPr>
        <w:tc>
          <w:tcPr>
            <w:tcW w:w="1880" w:type="dxa"/>
            <w:vMerge/>
            <w:tcBorders>
              <w:top w:val="single" w:sz="12" w:space="0" w:color="808080"/>
              <w:left w:val="single" w:sz="12" w:space="0" w:color="FFFFFF"/>
              <w:bottom w:val="double" w:sz="6" w:space="0" w:color="808080"/>
              <w:right w:val="single" w:sz="12" w:space="0" w:color="FFFFFF"/>
            </w:tcBorders>
            <w:vAlign w:val="center"/>
            <w:hideMark/>
          </w:tcPr>
          <w:p w14:paraId="2EFFB76C"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840" w:type="dxa"/>
            <w:vMerge/>
            <w:tcBorders>
              <w:top w:val="nil"/>
              <w:left w:val="single" w:sz="12" w:space="0" w:color="FFFFFF"/>
              <w:bottom w:val="double" w:sz="6" w:space="0" w:color="808080"/>
              <w:right w:val="single" w:sz="12" w:space="0" w:color="FFFFFF"/>
            </w:tcBorders>
            <w:vAlign w:val="center"/>
            <w:hideMark/>
          </w:tcPr>
          <w:p w14:paraId="232C7ED5"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980" w:type="dxa"/>
            <w:vMerge/>
            <w:tcBorders>
              <w:top w:val="nil"/>
              <w:left w:val="single" w:sz="12" w:space="0" w:color="FFFFFF"/>
              <w:bottom w:val="double" w:sz="6" w:space="0" w:color="808080"/>
              <w:right w:val="single" w:sz="12" w:space="0" w:color="FFFFFF"/>
            </w:tcBorders>
            <w:vAlign w:val="center"/>
            <w:hideMark/>
          </w:tcPr>
          <w:p w14:paraId="7D0A67A0"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060" w:type="dxa"/>
            <w:vMerge/>
            <w:tcBorders>
              <w:top w:val="nil"/>
              <w:left w:val="single" w:sz="12" w:space="0" w:color="FFFFFF"/>
              <w:bottom w:val="double" w:sz="6" w:space="0" w:color="808080"/>
              <w:right w:val="single" w:sz="12" w:space="0" w:color="FFFFFF"/>
            </w:tcBorders>
            <w:vAlign w:val="center"/>
            <w:hideMark/>
          </w:tcPr>
          <w:p w14:paraId="13365273"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380" w:type="dxa"/>
            <w:vMerge/>
            <w:tcBorders>
              <w:top w:val="nil"/>
              <w:left w:val="single" w:sz="12" w:space="0" w:color="FFFFFF"/>
              <w:bottom w:val="double" w:sz="6" w:space="0" w:color="808080"/>
              <w:right w:val="single" w:sz="12" w:space="0" w:color="FFFFFF"/>
            </w:tcBorders>
            <w:vAlign w:val="center"/>
            <w:hideMark/>
          </w:tcPr>
          <w:p w14:paraId="2605B9DB"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20" w:type="dxa"/>
            <w:tcBorders>
              <w:top w:val="nil"/>
              <w:left w:val="nil"/>
              <w:bottom w:val="nil"/>
              <w:right w:val="nil"/>
            </w:tcBorders>
            <w:shd w:val="clear" w:color="000000" w:fill="D4C19C"/>
            <w:vAlign w:val="center"/>
            <w:hideMark/>
          </w:tcPr>
          <w:p w14:paraId="44B7C340"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val="es-MX" w:eastAsia="es-MX"/>
              </w:rPr>
              <w:t>Valuación</w:t>
            </w:r>
          </w:p>
        </w:tc>
        <w:tc>
          <w:tcPr>
            <w:tcW w:w="1660" w:type="dxa"/>
            <w:vMerge/>
            <w:tcBorders>
              <w:top w:val="nil"/>
              <w:left w:val="single" w:sz="12" w:space="0" w:color="FFFFFF"/>
              <w:bottom w:val="double" w:sz="6" w:space="0" w:color="808080"/>
              <w:right w:val="single" w:sz="12" w:space="0" w:color="FFFFFF"/>
            </w:tcBorders>
            <w:vAlign w:val="center"/>
            <w:hideMark/>
          </w:tcPr>
          <w:p w14:paraId="58CA4D08"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40" w:type="dxa"/>
            <w:vMerge/>
            <w:tcBorders>
              <w:top w:val="nil"/>
              <w:left w:val="single" w:sz="12" w:space="0" w:color="FFFFFF"/>
              <w:bottom w:val="double" w:sz="6" w:space="0" w:color="808080"/>
              <w:right w:val="single" w:sz="12" w:space="0" w:color="FFFFFF"/>
            </w:tcBorders>
            <w:vAlign w:val="center"/>
            <w:hideMark/>
          </w:tcPr>
          <w:p w14:paraId="63FA237D"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r>
      <w:tr w:rsidR="006B4973" w:rsidRPr="006B4973" w14:paraId="3227FDAD" w14:textId="77777777" w:rsidTr="00A461CA">
        <w:trPr>
          <w:trHeight w:val="373"/>
        </w:trPr>
        <w:tc>
          <w:tcPr>
            <w:tcW w:w="1880" w:type="dxa"/>
            <w:vMerge/>
            <w:tcBorders>
              <w:top w:val="single" w:sz="12" w:space="0" w:color="808080"/>
              <w:left w:val="single" w:sz="12" w:space="0" w:color="FFFFFF"/>
              <w:bottom w:val="double" w:sz="6" w:space="0" w:color="808080"/>
              <w:right w:val="single" w:sz="12" w:space="0" w:color="FFFFFF"/>
            </w:tcBorders>
            <w:vAlign w:val="center"/>
            <w:hideMark/>
          </w:tcPr>
          <w:p w14:paraId="7314496E"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840" w:type="dxa"/>
            <w:vMerge/>
            <w:tcBorders>
              <w:top w:val="nil"/>
              <w:left w:val="single" w:sz="12" w:space="0" w:color="FFFFFF"/>
              <w:bottom w:val="double" w:sz="6" w:space="0" w:color="808080"/>
              <w:right w:val="single" w:sz="12" w:space="0" w:color="FFFFFF"/>
            </w:tcBorders>
            <w:vAlign w:val="center"/>
            <w:hideMark/>
          </w:tcPr>
          <w:p w14:paraId="6C51F0D4"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980" w:type="dxa"/>
            <w:vMerge/>
            <w:tcBorders>
              <w:top w:val="nil"/>
              <w:left w:val="single" w:sz="12" w:space="0" w:color="FFFFFF"/>
              <w:bottom w:val="double" w:sz="6" w:space="0" w:color="808080"/>
              <w:right w:val="single" w:sz="12" w:space="0" w:color="FFFFFF"/>
            </w:tcBorders>
            <w:vAlign w:val="center"/>
            <w:hideMark/>
          </w:tcPr>
          <w:p w14:paraId="1E90D633"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060" w:type="dxa"/>
            <w:vMerge/>
            <w:tcBorders>
              <w:top w:val="nil"/>
              <w:left w:val="single" w:sz="12" w:space="0" w:color="FFFFFF"/>
              <w:bottom w:val="double" w:sz="6" w:space="0" w:color="808080"/>
              <w:right w:val="single" w:sz="12" w:space="0" w:color="FFFFFF"/>
            </w:tcBorders>
            <w:vAlign w:val="center"/>
            <w:hideMark/>
          </w:tcPr>
          <w:p w14:paraId="35762CA2"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380" w:type="dxa"/>
            <w:vMerge/>
            <w:tcBorders>
              <w:top w:val="nil"/>
              <w:left w:val="single" w:sz="12" w:space="0" w:color="FFFFFF"/>
              <w:bottom w:val="double" w:sz="6" w:space="0" w:color="808080"/>
              <w:right w:val="single" w:sz="12" w:space="0" w:color="FFFFFF"/>
            </w:tcBorders>
            <w:vAlign w:val="center"/>
            <w:hideMark/>
          </w:tcPr>
          <w:p w14:paraId="119B0EFB"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20" w:type="dxa"/>
            <w:tcBorders>
              <w:top w:val="nil"/>
              <w:left w:val="nil"/>
              <w:bottom w:val="double" w:sz="6" w:space="0" w:color="808080"/>
              <w:right w:val="nil"/>
            </w:tcBorders>
            <w:shd w:val="clear" w:color="000000" w:fill="D4C19C"/>
            <w:vAlign w:val="center"/>
            <w:hideMark/>
          </w:tcPr>
          <w:p w14:paraId="049A7BA5" w14:textId="77777777" w:rsidR="006B4973" w:rsidRPr="006B4973" w:rsidRDefault="006B4973" w:rsidP="006B4973">
            <w:pPr>
              <w:spacing w:after="0" w:line="240" w:lineRule="auto"/>
              <w:jc w:val="center"/>
              <w:rPr>
                <w:rFonts w:ascii="Montserrat" w:eastAsia="Times New Roman" w:hAnsi="Montserrat" w:cs="Calibri"/>
                <w:b/>
                <w:bCs/>
                <w:color w:val="FFFFFF"/>
                <w:sz w:val="16"/>
                <w:szCs w:val="16"/>
                <w:lang w:val="es-MX" w:eastAsia="es-MX"/>
              </w:rPr>
            </w:pPr>
            <w:r w:rsidRPr="006B4973">
              <w:rPr>
                <w:rFonts w:ascii="Montserrat" w:eastAsia="Times New Roman" w:hAnsi="Montserrat" w:cs="Calibri"/>
                <w:b/>
                <w:bCs/>
                <w:color w:val="FFFFFF"/>
                <w:sz w:val="16"/>
                <w:szCs w:val="16"/>
                <w:lang w:val="es-MX" w:eastAsia="es-MX"/>
              </w:rPr>
              <w:t>a Mercado</w:t>
            </w:r>
          </w:p>
        </w:tc>
        <w:tc>
          <w:tcPr>
            <w:tcW w:w="1660" w:type="dxa"/>
            <w:vMerge/>
            <w:tcBorders>
              <w:top w:val="nil"/>
              <w:left w:val="single" w:sz="12" w:space="0" w:color="FFFFFF"/>
              <w:bottom w:val="double" w:sz="6" w:space="0" w:color="808080"/>
              <w:right w:val="single" w:sz="12" w:space="0" w:color="FFFFFF"/>
            </w:tcBorders>
            <w:vAlign w:val="center"/>
            <w:hideMark/>
          </w:tcPr>
          <w:p w14:paraId="35860EDB"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c>
          <w:tcPr>
            <w:tcW w:w="1740" w:type="dxa"/>
            <w:vMerge/>
            <w:tcBorders>
              <w:top w:val="nil"/>
              <w:left w:val="single" w:sz="12" w:space="0" w:color="FFFFFF"/>
              <w:bottom w:val="double" w:sz="6" w:space="0" w:color="808080"/>
              <w:right w:val="single" w:sz="12" w:space="0" w:color="FFFFFF"/>
            </w:tcBorders>
            <w:vAlign w:val="center"/>
            <w:hideMark/>
          </w:tcPr>
          <w:p w14:paraId="72F4BDF3" w14:textId="77777777" w:rsidR="006B4973" w:rsidRPr="006B4973" w:rsidRDefault="006B4973" w:rsidP="006B4973">
            <w:pPr>
              <w:spacing w:after="0" w:line="240" w:lineRule="auto"/>
              <w:rPr>
                <w:rFonts w:ascii="Montserrat" w:eastAsia="Times New Roman" w:hAnsi="Montserrat" w:cs="Calibri"/>
                <w:b/>
                <w:bCs/>
                <w:color w:val="FFFFFF"/>
                <w:sz w:val="16"/>
                <w:szCs w:val="16"/>
                <w:lang w:val="es-MX" w:eastAsia="es-MX"/>
              </w:rPr>
            </w:pPr>
          </w:p>
        </w:tc>
      </w:tr>
      <w:tr w:rsidR="00D74CD4" w:rsidRPr="006B4973" w14:paraId="09F07165" w14:textId="77777777" w:rsidTr="00A461CA">
        <w:trPr>
          <w:trHeight w:val="479"/>
        </w:trPr>
        <w:tc>
          <w:tcPr>
            <w:tcW w:w="1880" w:type="dxa"/>
            <w:tcBorders>
              <w:top w:val="nil"/>
              <w:left w:val="nil"/>
              <w:bottom w:val="nil"/>
              <w:right w:val="nil"/>
            </w:tcBorders>
            <w:shd w:val="clear" w:color="000000" w:fill="F2F2F2"/>
            <w:vAlign w:val="center"/>
            <w:hideMark/>
          </w:tcPr>
          <w:p w14:paraId="433BACFD"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Reservas Operativas (RO)</w:t>
            </w:r>
          </w:p>
        </w:tc>
        <w:tc>
          <w:tcPr>
            <w:tcW w:w="1840" w:type="dxa"/>
            <w:tcBorders>
              <w:top w:val="nil"/>
              <w:left w:val="nil"/>
              <w:bottom w:val="nil"/>
              <w:right w:val="nil"/>
            </w:tcBorders>
            <w:shd w:val="clear" w:color="000000" w:fill="F2F2F2"/>
            <w:vAlign w:val="center"/>
            <w:hideMark/>
          </w:tcPr>
          <w:p w14:paraId="63684943"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4,778,740,720.7</w:t>
            </w:r>
          </w:p>
        </w:tc>
        <w:tc>
          <w:tcPr>
            <w:tcW w:w="1980" w:type="dxa"/>
            <w:tcBorders>
              <w:top w:val="nil"/>
              <w:left w:val="nil"/>
              <w:bottom w:val="nil"/>
              <w:right w:val="nil"/>
            </w:tcBorders>
            <w:shd w:val="clear" w:color="000000" w:fill="F2F2F2"/>
            <w:vAlign w:val="center"/>
            <w:hideMark/>
          </w:tcPr>
          <w:p w14:paraId="32CF8A0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1,477,403,976.3</w:t>
            </w:r>
          </w:p>
        </w:tc>
        <w:tc>
          <w:tcPr>
            <w:tcW w:w="1060" w:type="dxa"/>
            <w:tcBorders>
              <w:top w:val="nil"/>
              <w:left w:val="nil"/>
              <w:bottom w:val="nil"/>
              <w:right w:val="nil"/>
            </w:tcBorders>
            <w:shd w:val="clear" w:color="000000" w:fill="F2F2F2"/>
            <w:vAlign w:val="center"/>
            <w:hideMark/>
          </w:tcPr>
          <w:p w14:paraId="5EEDE2BD"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67204419"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5BE1724F"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60" w:type="dxa"/>
            <w:tcBorders>
              <w:top w:val="nil"/>
              <w:left w:val="nil"/>
              <w:bottom w:val="nil"/>
              <w:right w:val="nil"/>
            </w:tcBorders>
            <w:shd w:val="clear" w:color="000000" w:fill="F2F2F2"/>
            <w:vAlign w:val="center"/>
            <w:hideMark/>
          </w:tcPr>
          <w:p w14:paraId="72EB2ADF"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32,551,479,156.0</w:t>
            </w:r>
          </w:p>
        </w:tc>
        <w:tc>
          <w:tcPr>
            <w:tcW w:w="1740" w:type="dxa"/>
            <w:tcBorders>
              <w:top w:val="nil"/>
              <w:left w:val="nil"/>
              <w:bottom w:val="nil"/>
              <w:right w:val="nil"/>
            </w:tcBorders>
            <w:shd w:val="clear" w:color="000000" w:fill="F2F2F2"/>
            <w:vAlign w:val="center"/>
            <w:hideMark/>
          </w:tcPr>
          <w:p w14:paraId="42D8959D"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38,807,623,853.0</w:t>
            </w:r>
          </w:p>
        </w:tc>
      </w:tr>
      <w:tr w:rsidR="00D74CD4" w:rsidRPr="006B4973" w14:paraId="67FFA6DD" w14:textId="77777777" w:rsidTr="00A461CA">
        <w:trPr>
          <w:trHeight w:val="692"/>
        </w:trPr>
        <w:tc>
          <w:tcPr>
            <w:tcW w:w="1880" w:type="dxa"/>
            <w:tcBorders>
              <w:top w:val="nil"/>
              <w:left w:val="nil"/>
              <w:bottom w:val="nil"/>
              <w:right w:val="nil"/>
            </w:tcBorders>
            <w:shd w:val="clear" w:color="000000" w:fill="F2F2F2"/>
            <w:vAlign w:val="center"/>
            <w:hideMark/>
          </w:tcPr>
          <w:p w14:paraId="683ADC7F"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Reserva para Contingencia y Financiamiento (RCOF)</w:t>
            </w:r>
          </w:p>
        </w:tc>
        <w:tc>
          <w:tcPr>
            <w:tcW w:w="1840" w:type="dxa"/>
            <w:tcBorders>
              <w:top w:val="nil"/>
              <w:left w:val="nil"/>
              <w:bottom w:val="nil"/>
              <w:right w:val="nil"/>
            </w:tcBorders>
            <w:shd w:val="clear" w:color="000000" w:fill="F2F2F2"/>
            <w:vAlign w:val="center"/>
            <w:hideMark/>
          </w:tcPr>
          <w:p w14:paraId="3529E5CE"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63,500,850,847.7</w:t>
            </w:r>
          </w:p>
        </w:tc>
        <w:tc>
          <w:tcPr>
            <w:tcW w:w="1980" w:type="dxa"/>
            <w:tcBorders>
              <w:top w:val="nil"/>
              <w:left w:val="nil"/>
              <w:bottom w:val="nil"/>
              <w:right w:val="nil"/>
            </w:tcBorders>
            <w:shd w:val="clear" w:color="000000" w:fill="F2F2F2"/>
            <w:vAlign w:val="center"/>
            <w:hideMark/>
          </w:tcPr>
          <w:p w14:paraId="2361D85E"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4,522,872,681.3</w:t>
            </w:r>
          </w:p>
        </w:tc>
        <w:tc>
          <w:tcPr>
            <w:tcW w:w="1060" w:type="dxa"/>
            <w:tcBorders>
              <w:top w:val="nil"/>
              <w:left w:val="nil"/>
              <w:bottom w:val="nil"/>
              <w:right w:val="nil"/>
            </w:tcBorders>
            <w:shd w:val="clear" w:color="000000" w:fill="F2F2F2"/>
            <w:vAlign w:val="center"/>
            <w:hideMark/>
          </w:tcPr>
          <w:p w14:paraId="7BB66164"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1EC331F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4160954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60" w:type="dxa"/>
            <w:tcBorders>
              <w:top w:val="nil"/>
              <w:left w:val="nil"/>
              <w:bottom w:val="nil"/>
              <w:right w:val="nil"/>
            </w:tcBorders>
            <w:shd w:val="clear" w:color="000000" w:fill="F2F2F2"/>
            <w:vAlign w:val="center"/>
            <w:hideMark/>
          </w:tcPr>
          <w:p w14:paraId="314C1971"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5,464,254,526.2</w:t>
            </w:r>
          </w:p>
        </w:tc>
        <w:tc>
          <w:tcPr>
            <w:tcW w:w="1740" w:type="dxa"/>
            <w:tcBorders>
              <w:top w:val="nil"/>
              <w:left w:val="nil"/>
              <w:bottom w:val="nil"/>
              <w:right w:val="nil"/>
            </w:tcBorders>
            <w:shd w:val="clear" w:color="000000" w:fill="F2F2F2"/>
            <w:vAlign w:val="center"/>
            <w:hideMark/>
          </w:tcPr>
          <w:p w14:paraId="4F78CA8F"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73,487,978,055.2</w:t>
            </w:r>
          </w:p>
        </w:tc>
      </w:tr>
      <w:tr w:rsidR="00D74CD4" w:rsidRPr="006B4973" w14:paraId="6CC815B6" w14:textId="77777777" w:rsidTr="00A461CA">
        <w:trPr>
          <w:trHeight w:val="692"/>
        </w:trPr>
        <w:tc>
          <w:tcPr>
            <w:tcW w:w="1880" w:type="dxa"/>
            <w:tcBorders>
              <w:top w:val="nil"/>
              <w:left w:val="nil"/>
              <w:bottom w:val="nil"/>
              <w:right w:val="nil"/>
            </w:tcBorders>
            <w:shd w:val="clear" w:color="000000" w:fill="F2F2F2"/>
            <w:vAlign w:val="center"/>
            <w:hideMark/>
          </w:tcPr>
          <w:p w14:paraId="55B16119"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Reserva General Financiera y Actuarial (RGFA)</w:t>
            </w:r>
          </w:p>
        </w:tc>
        <w:tc>
          <w:tcPr>
            <w:tcW w:w="1840" w:type="dxa"/>
            <w:tcBorders>
              <w:top w:val="nil"/>
              <w:left w:val="nil"/>
              <w:bottom w:val="nil"/>
              <w:right w:val="nil"/>
            </w:tcBorders>
            <w:shd w:val="clear" w:color="000000" w:fill="F2F2F2"/>
            <w:vAlign w:val="center"/>
            <w:hideMark/>
          </w:tcPr>
          <w:p w14:paraId="10E6DCBE"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8,008,143,226.3</w:t>
            </w:r>
          </w:p>
        </w:tc>
        <w:tc>
          <w:tcPr>
            <w:tcW w:w="1980" w:type="dxa"/>
            <w:tcBorders>
              <w:top w:val="nil"/>
              <w:left w:val="nil"/>
              <w:bottom w:val="nil"/>
              <w:right w:val="nil"/>
            </w:tcBorders>
            <w:shd w:val="clear" w:color="000000" w:fill="F2F2F2"/>
            <w:vAlign w:val="center"/>
            <w:hideMark/>
          </w:tcPr>
          <w:p w14:paraId="03AF24A4"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473,612,581.9</w:t>
            </w:r>
          </w:p>
        </w:tc>
        <w:tc>
          <w:tcPr>
            <w:tcW w:w="1060" w:type="dxa"/>
            <w:tcBorders>
              <w:top w:val="nil"/>
              <w:left w:val="nil"/>
              <w:bottom w:val="nil"/>
              <w:right w:val="nil"/>
            </w:tcBorders>
            <w:shd w:val="clear" w:color="000000" w:fill="F2F2F2"/>
            <w:vAlign w:val="center"/>
            <w:hideMark/>
          </w:tcPr>
          <w:p w14:paraId="711D6338"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0F744BA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7B87770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60" w:type="dxa"/>
            <w:tcBorders>
              <w:top w:val="nil"/>
              <w:left w:val="nil"/>
              <w:bottom w:val="nil"/>
              <w:right w:val="nil"/>
            </w:tcBorders>
            <w:shd w:val="clear" w:color="000000" w:fill="F2F2F2"/>
            <w:vAlign w:val="center"/>
            <w:hideMark/>
          </w:tcPr>
          <w:p w14:paraId="16EDF8D9"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74,321,956.7</w:t>
            </w:r>
          </w:p>
        </w:tc>
        <w:tc>
          <w:tcPr>
            <w:tcW w:w="1740" w:type="dxa"/>
            <w:tcBorders>
              <w:top w:val="nil"/>
              <w:left w:val="nil"/>
              <w:bottom w:val="nil"/>
              <w:right w:val="nil"/>
            </w:tcBorders>
            <w:shd w:val="clear" w:color="000000" w:fill="F2F2F2"/>
            <w:vAlign w:val="center"/>
            <w:hideMark/>
          </w:tcPr>
          <w:p w14:paraId="42706464"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8,556,077,764.9</w:t>
            </w:r>
          </w:p>
        </w:tc>
      </w:tr>
      <w:tr w:rsidR="00D74CD4" w:rsidRPr="006B4973" w14:paraId="23EE7CB3" w14:textId="77777777" w:rsidTr="00A461CA">
        <w:trPr>
          <w:trHeight w:val="461"/>
        </w:trPr>
        <w:tc>
          <w:tcPr>
            <w:tcW w:w="1880" w:type="dxa"/>
            <w:tcBorders>
              <w:top w:val="nil"/>
              <w:left w:val="nil"/>
              <w:bottom w:val="nil"/>
              <w:right w:val="nil"/>
            </w:tcBorders>
            <w:shd w:val="clear" w:color="000000" w:fill="F2F2F2"/>
            <w:vAlign w:val="center"/>
            <w:hideMark/>
          </w:tcPr>
          <w:p w14:paraId="52F5C899"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 xml:space="preserve">RFA Gastos Médicos de Pensionados </w:t>
            </w:r>
          </w:p>
        </w:tc>
        <w:tc>
          <w:tcPr>
            <w:tcW w:w="1840" w:type="dxa"/>
            <w:tcBorders>
              <w:top w:val="nil"/>
              <w:left w:val="nil"/>
              <w:bottom w:val="nil"/>
              <w:right w:val="nil"/>
            </w:tcBorders>
            <w:shd w:val="clear" w:color="000000" w:fill="F2F2F2"/>
            <w:vAlign w:val="center"/>
            <w:hideMark/>
          </w:tcPr>
          <w:p w14:paraId="3A1D7B8F"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36,777,670,830.4</w:t>
            </w:r>
          </w:p>
        </w:tc>
        <w:tc>
          <w:tcPr>
            <w:tcW w:w="1980" w:type="dxa"/>
            <w:tcBorders>
              <w:top w:val="nil"/>
              <w:left w:val="nil"/>
              <w:bottom w:val="nil"/>
              <w:right w:val="nil"/>
            </w:tcBorders>
            <w:shd w:val="clear" w:color="000000" w:fill="F2F2F2"/>
            <w:vAlign w:val="center"/>
            <w:hideMark/>
          </w:tcPr>
          <w:p w14:paraId="1819FEF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1,661,274,954.2</w:t>
            </w:r>
          </w:p>
        </w:tc>
        <w:tc>
          <w:tcPr>
            <w:tcW w:w="1060" w:type="dxa"/>
            <w:tcBorders>
              <w:top w:val="nil"/>
              <w:left w:val="nil"/>
              <w:bottom w:val="nil"/>
              <w:right w:val="nil"/>
            </w:tcBorders>
            <w:shd w:val="clear" w:color="000000" w:fill="F2F2F2"/>
            <w:vAlign w:val="center"/>
            <w:hideMark/>
          </w:tcPr>
          <w:p w14:paraId="3856C6F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741B898E"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5F7903A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-587,063,160.3</w:t>
            </w:r>
          </w:p>
        </w:tc>
        <w:tc>
          <w:tcPr>
            <w:tcW w:w="1660" w:type="dxa"/>
            <w:tcBorders>
              <w:top w:val="nil"/>
              <w:left w:val="nil"/>
              <w:bottom w:val="nil"/>
              <w:right w:val="nil"/>
            </w:tcBorders>
            <w:shd w:val="clear" w:color="000000" w:fill="F2F2F2"/>
            <w:vAlign w:val="center"/>
            <w:hideMark/>
          </w:tcPr>
          <w:p w14:paraId="408DC2E8"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2,233.0</w:t>
            </w:r>
          </w:p>
        </w:tc>
        <w:tc>
          <w:tcPr>
            <w:tcW w:w="1740" w:type="dxa"/>
            <w:tcBorders>
              <w:top w:val="nil"/>
              <w:left w:val="nil"/>
              <w:bottom w:val="nil"/>
              <w:right w:val="nil"/>
            </w:tcBorders>
            <w:shd w:val="clear" w:color="000000" w:fill="F2F2F2"/>
            <w:vAlign w:val="center"/>
            <w:hideMark/>
          </w:tcPr>
          <w:p w14:paraId="197B22B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37,851,884,857.3</w:t>
            </w:r>
          </w:p>
        </w:tc>
      </w:tr>
      <w:tr w:rsidR="00D74CD4" w:rsidRPr="006B4973" w14:paraId="414E42D3" w14:textId="77777777" w:rsidTr="00A461CA">
        <w:trPr>
          <w:trHeight w:val="461"/>
        </w:trPr>
        <w:tc>
          <w:tcPr>
            <w:tcW w:w="1880" w:type="dxa"/>
            <w:tcBorders>
              <w:top w:val="nil"/>
              <w:left w:val="nil"/>
              <w:bottom w:val="nil"/>
              <w:right w:val="nil"/>
            </w:tcBorders>
            <w:shd w:val="clear" w:color="000000" w:fill="F2F2F2"/>
            <w:vAlign w:val="center"/>
            <w:hideMark/>
          </w:tcPr>
          <w:p w14:paraId="0F32B2CD"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 xml:space="preserve">RFA Seguro de Enfermedad y Maternidad </w:t>
            </w:r>
          </w:p>
        </w:tc>
        <w:tc>
          <w:tcPr>
            <w:tcW w:w="1840" w:type="dxa"/>
            <w:tcBorders>
              <w:top w:val="nil"/>
              <w:left w:val="nil"/>
              <w:bottom w:val="nil"/>
              <w:right w:val="nil"/>
            </w:tcBorders>
            <w:shd w:val="clear" w:color="000000" w:fill="F2F2F2"/>
            <w:vAlign w:val="center"/>
            <w:hideMark/>
          </w:tcPr>
          <w:p w14:paraId="270218C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64,372,645,700.3</w:t>
            </w:r>
          </w:p>
        </w:tc>
        <w:tc>
          <w:tcPr>
            <w:tcW w:w="1980" w:type="dxa"/>
            <w:tcBorders>
              <w:top w:val="nil"/>
              <w:left w:val="nil"/>
              <w:bottom w:val="nil"/>
              <w:right w:val="nil"/>
            </w:tcBorders>
            <w:shd w:val="clear" w:color="000000" w:fill="F2F2F2"/>
            <w:vAlign w:val="center"/>
            <w:hideMark/>
          </w:tcPr>
          <w:p w14:paraId="167E180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3,390,566,259.8</w:t>
            </w:r>
          </w:p>
        </w:tc>
        <w:tc>
          <w:tcPr>
            <w:tcW w:w="1060" w:type="dxa"/>
            <w:tcBorders>
              <w:top w:val="nil"/>
              <w:left w:val="nil"/>
              <w:bottom w:val="nil"/>
              <w:right w:val="nil"/>
            </w:tcBorders>
            <w:shd w:val="clear" w:color="000000" w:fill="F2F2F2"/>
            <w:vAlign w:val="center"/>
            <w:hideMark/>
          </w:tcPr>
          <w:p w14:paraId="7E6CE782"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32FA690D"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4B9CF741"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-5,075,708,550.0</w:t>
            </w:r>
          </w:p>
        </w:tc>
        <w:tc>
          <w:tcPr>
            <w:tcW w:w="1660" w:type="dxa"/>
            <w:tcBorders>
              <w:top w:val="nil"/>
              <w:left w:val="nil"/>
              <w:bottom w:val="nil"/>
              <w:right w:val="nil"/>
            </w:tcBorders>
            <w:shd w:val="clear" w:color="000000" w:fill="F2F2F2"/>
            <w:vAlign w:val="center"/>
            <w:hideMark/>
          </w:tcPr>
          <w:p w14:paraId="5FC6692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14,254.3</w:t>
            </w:r>
          </w:p>
        </w:tc>
        <w:tc>
          <w:tcPr>
            <w:tcW w:w="1740" w:type="dxa"/>
            <w:tcBorders>
              <w:top w:val="nil"/>
              <w:left w:val="nil"/>
              <w:bottom w:val="nil"/>
              <w:right w:val="nil"/>
            </w:tcBorders>
            <w:shd w:val="clear" w:color="000000" w:fill="F2F2F2"/>
            <w:vAlign w:val="center"/>
            <w:hideMark/>
          </w:tcPr>
          <w:p w14:paraId="59BCF6A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62,687,517,664.4</w:t>
            </w:r>
          </w:p>
        </w:tc>
      </w:tr>
      <w:tr w:rsidR="00D74CD4" w:rsidRPr="006B4973" w14:paraId="172C998F" w14:textId="77777777" w:rsidTr="00A461CA">
        <w:trPr>
          <w:trHeight w:val="461"/>
        </w:trPr>
        <w:tc>
          <w:tcPr>
            <w:tcW w:w="1880" w:type="dxa"/>
            <w:tcBorders>
              <w:top w:val="nil"/>
              <w:left w:val="nil"/>
              <w:bottom w:val="nil"/>
              <w:right w:val="nil"/>
            </w:tcBorders>
            <w:shd w:val="clear" w:color="000000" w:fill="F2F2F2"/>
            <w:vAlign w:val="center"/>
            <w:hideMark/>
          </w:tcPr>
          <w:p w14:paraId="7266654D"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RFA Guarderías y Prestaciones Sociales</w:t>
            </w:r>
          </w:p>
        </w:tc>
        <w:tc>
          <w:tcPr>
            <w:tcW w:w="1840" w:type="dxa"/>
            <w:tcBorders>
              <w:top w:val="nil"/>
              <w:left w:val="nil"/>
              <w:bottom w:val="nil"/>
              <w:right w:val="nil"/>
            </w:tcBorders>
            <w:shd w:val="clear" w:color="000000" w:fill="F2F2F2"/>
            <w:vAlign w:val="center"/>
            <w:hideMark/>
          </w:tcPr>
          <w:p w14:paraId="5D49343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980" w:type="dxa"/>
            <w:tcBorders>
              <w:top w:val="nil"/>
              <w:left w:val="nil"/>
              <w:bottom w:val="nil"/>
              <w:right w:val="nil"/>
            </w:tcBorders>
            <w:shd w:val="clear" w:color="000000" w:fill="F2F2F2"/>
            <w:vAlign w:val="center"/>
            <w:hideMark/>
          </w:tcPr>
          <w:p w14:paraId="5C64AB32"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1,166,432.3</w:t>
            </w:r>
          </w:p>
        </w:tc>
        <w:tc>
          <w:tcPr>
            <w:tcW w:w="1060" w:type="dxa"/>
            <w:tcBorders>
              <w:top w:val="nil"/>
              <w:left w:val="nil"/>
              <w:bottom w:val="nil"/>
              <w:right w:val="nil"/>
            </w:tcBorders>
            <w:shd w:val="clear" w:color="000000" w:fill="F2F2F2"/>
            <w:vAlign w:val="center"/>
            <w:hideMark/>
          </w:tcPr>
          <w:p w14:paraId="1D08841E"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6AC13C6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12371C8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660" w:type="dxa"/>
            <w:tcBorders>
              <w:top w:val="nil"/>
              <w:left w:val="nil"/>
              <w:bottom w:val="nil"/>
              <w:right w:val="nil"/>
            </w:tcBorders>
            <w:shd w:val="clear" w:color="000000" w:fill="F2F2F2"/>
            <w:vAlign w:val="center"/>
            <w:hideMark/>
          </w:tcPr>
          <w:p w14:paraId="674E2A1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152,263,833.0</w:t>
            </w:r>
          </w:p>
        </w:tc>
        <w:tc>
          <w:tcPr>
            <w:tcW w:w="1740" w:type="dxa"/>
            <w:tcBorders>
              <w:top w:val="nil"/>
              <w:left w:val="nil"/>
              <w:bottom w:val="nil"/>
              <w:right w:val="nil"/>
            </w:tcBorders>
            <w:shd w:val="clear" w:color="000000" w:fill="F2F2F2"/>
            <w:vAlign w:val="center"/>
            <w:hideMark/>
          </w:tcPr>
          <w:p w14:paraId="3CB2171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153,430,265.3</w:t>
            </w:r>
          </w:p>
        </w:tc>
      </w:tr>
      <w:tr w:rsidR="00D74CD4" w:rsidRPr="006B4973" w14:paraId="32CABAE6" w14:textId="77777777" w:rsidTr="00A461CA">
        <w:trPr>
          <w:trHeight w:val="355"/>
        </w:trPr>
        <w:tc>
          <w:tcPr>
            <w:tcW w:w="1880" w:type="dxa"/>
            <w:tcBorders>
              <w:top w:val="nil"/>
              <w:left w:val="nil"/>
              <w:bottom w:val="nil"/>
              <w:right w:val="nil"/>
            </w:tcBorders>
            <w:shd w:val="clear" w:color="000000" w:fill="F2F2F2"/>
            <w:vAlign w:val="center"/>
            <w:hideMark/>
          </w:tcPr>
          <w:p w14:paraId="250BD260"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RFA Invalidez y Vida</w:t>
            </w:r>
          </w:p>
        </w:tc>
        <w:tc>
          <w:tcPr>
            <w:tcW w:w="1840" w:type="dxa"/>
            <w:tcBorders>
              <w:top w:val="nil"/>
              <w:left w:val="nil"/>
              <w:bottom w:val="nil"/>
              <w:right w:val="nil"/>
            </w:tcBorders>
            <w:shd w:val="clear" w:color="000000" w:fill="F2F2F2"/>
            <w:vAlign w:val="center"/>
            <w:hideMark/>
          </w:tcPr>
          <w:p w14:paraId="51927508"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18,344,005,824.7</w:t>
            </w:r>
          </w:p>
        </w:tc>
        <w:tc>
          <w:tcPr>
            <w:tcW w:w="1980" w:type="dxa"/>
            <w:tcBorders>
              <w:top w:val="nil"/>
              <w:left w:val="nil"/>
              <w:bottom w:val="nil"/>
              <w:right w:val="nil"/>
            </w:tcBorders>
            <w:shd w:val="clear" w:color="000000" w:fill="F2F2F2"/>
            <w:vAlign w:val="center"/>
            <w:hideMark/>
          </w:tcPr>
          <w:p w14:paraId="7AA08AA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927,391,226.4</w:t>
            </w:r>
          </w:p>
        </w:tc>
        <w:tc>
          <w:tcPr>
            <w:tcW w:w="1060" w:type="dxa"/>
            <w:tcBorders>
              <w:top w:val="nil"/>
              <w:left w:val="nil"/>
              <w:bottom w:val="nil"/>
              <w:right w:val="nil"/>
            </w:tcBorders>
            <w:shd w:val="clear" w:color="000000" w:fill="F2F2F2"/>
            <w:vAlign w:val="center"/>
            <w:hideMark/>
          </w:tcPr>
          <w:p w14:paraId="7BF4CF5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79C3E56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988,613,398.6</w:t>
            </w:r>
          </w:p>
        </w:tc>
        <w:tc>
          <w:tcPr>
            <w:tcW w:w="1720" w:type="dxa"/>
            <w:tcBorders>
              <w:top w:val="nil"/>
              <w:left w:val="nil"/>
              <w:bottom w:val="nil"/>
              <w:right w:val="nil"/>
            </w:tcBorders>
            <w:shd w:val="clear" w:color="000000" w:fill="F2F2F2"/>
            <w:vAlign w:val="center"/>
            <w:hideMark/>
          </w:tcPr>
          <w:p w14:paraId="6B443FF6"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-289,252,919.3</w:t>
            </w:r>
          </w:p>
        </w:tc>
        <w:tc>
          <w:tcPr>
            <w:tcW w:w="1660" w:type="dxa"/>
            <w:tcBorders>
              <w:top w:val="nil"/>
              <w:left w:val="nil"/>
              <w:bottom w:val="nil"/>
              <w:right w:val="nil"/>
            </w:tcBorders>
            <w:shd w:val="clear" w:color="000000" w:fill="F2F2F2"/>
            <w:vAlign w:val="center"/>
            <w:hideMark/>
          </w:tcPr>
          <w:p w14:paraId="3456AC5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-3,127.9</w:t>
            </w:r>
          </w:p>
        </w:tc>
        <w:tc>
          <w:tcPr>
            <w:tcW w:w="1740" w:type="dxa"/>
            <w:tcBorders>
              <w:top w:val="nil"/>
              <w:left w:val="nil"/>
              <w:bottom w:val="nil"/>
              <w:right w:val="nil"/>
            </w:tcBorders>
            <w:shd w:val="clear" w:color="000000" w:fill="F2F2F2"/>
            <w:vAlign w:val="center"/>
            <w:hideMark/>
          </w:tcPr>
          <w:p w14:paraId="7C1E55B3"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19,970,754,402.5</w:t>
            </w:r>
          </w:p>
        </w:tc>
      </w:tr>
      <w:tr w:rsidR="00D74CD4" w:rsidRPr="006B4973" w14:paraId="5B4E73CB" w14:textId="77777777" w:rsidTr="00A461CA">
        <w:trPr>
          <w:trHeight w:val="355"/>
        </w:trPr>
        <w:tc>
          <w:tcPr>
            <w:tcW w:w="1880" w:type="dxa"/>
            <w:tcBorders>
              <w:top w:val="nil"/>
              <w:left w:val="nil"/>
              <w:bottom w:val="nil"/>
              <w:right w:val="nil"/>
            </w:tcBorders>
            <w:shd w:val="clear" w:color="000000" w:fill="F2F2F2"/>
            <w:vAlign w:val="center"/>
            <w:hideMark/>
          </w:tcPr>
          <w:p w14:paraId="2670E199"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RFA Riesgo de Trabajo</w:t>
            </w:r>
          </w:p>
        </w:tc>
        <w:tc>
          <w:tcPr>
            <w:tcW w:w="1840" w:type="dxa"/>
            <w:tcBorders>
              <w:top w:val="nil"/>
              <w:left w:val="nil"/>
              <w:bottom w:val="nil"/>
              <w:right w:val="nil"/>
            </w:tcBorders>
            <w:shd w:val="clear" w:color="000000" w:fill="F2F2F2"/>
            <w:vAlign w:val="center"/>
            <w:hideMark/>
          </w:tcPr>
          <w:p w14:paraId="538B6E7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13,888,528,678.0</w:t>
            </w:r>
          </w:p>
        </w:tc>
        <w:tc>
          <w:tcPr>
            <w:tcW w:w="1980" w:type="dxa"/>
            <w:tcBorders>
              <w:top w:val="nil"/>
              <w:left w:val="nil"/>
              <w:bottom w:val="nil"/>
              <w:right w:val="nil"/>
            </w:tcBorders>
            <w:shd w:val="clear" w:color="000000" w:fill="F2F2F2"/>
            <w:vAlign w:val="center"/>
            <w:hideMark/>
          </w:tcPr>
          <w:p w14:paraId="2719BACD"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725,327,420.7</w:t>
            </w:r>
          </w:p>
        </w:tc>
        <w:tc>
          <w:tcPr>
            <w:tcW w:w="1060" w:type="dxa"/>
            <w:tcBorders>
              <w:top w:val="nil"/>
              <w:left w:val="nil"/>
              <w:bottom w:val="nil"/>
              <w:right w:val="nil"/>
            </w:tcBorders>
            <w:shd w:val="clear" w:color="000000" w:fill="F2F2F2"/>
            <w:vAlign w:val="center"/>
            <w:hideMark/>
          </w:tcPr>
          <w:p w14:paraId="21200FB5"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6607664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786,386,601.4</w:t>
            </w:r>
          </w:p>
        </w:tc>
        <w:tc>
          <w:tcPr>
            <w:tcW w:w="1720" w:type="dxa"/>
            <w:tcBorders>
              <w:top w:val="nil"/>
              <w:left w:val="nil"/>
              <w:bottom w:val="nil"/>
              <w:right w:val="nil"/>
            </w:tcBorders>
            <w:shd w:val="clear" w:color="000000" w:fill="F2F2F2"/>
            <w:vAlign w:val="center"/>
            <w:hideMark/>
          </w:tcPr>
          <w:p w14:paraId="44EC5FC1"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-218,905,261.4</w:t>
            </w:r>
          </w:p>
        </w:tc>
        <w:tc>
          <w:tcPr>
            <w:tcW w:w="1660" w:type="dxa"/>
            <w:tcBorders>
              <w:top w:val="nil"/>
              <w:left w:val="nil"/>
              <w:bottom w:val="nil"/>
              <w:right w:val="nil"/>
            </w:tcBorders>
            <w:shd w:val="clear" w:color="000000" w:fill="F2F2F2"/>
            <w:vAlign w:val="center"/>
            <w:hideMark/>
          </w:tcPr>
          <w:p w14:paraId="3B22496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-12,400.6</w:t>
            </w:r>
          </w:p>
        </w:tc>
        <w:tc>
          <w:tcPr>
            <w:tcW w:w="1740" w:type="dxa"/>
            <w:tcBorders>
              <w:top w:val="nil"/>
              <w:left w:val="nil"/>
              <w:bottom w:val="nil"/>
              <w:right w:val="nil"/>
            </w:tcBorders>
            <w:shd w:val="clear" w:color="000000" w:fill="F2F2F2"/>
            <w:vAlign w:val="center"/>
            <w:hideMark/>
          </w:tcPr>
          <w:p w14:paraId="2D66C98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15,181,325,038.1</w:t>
            </w:r>
          </w:p>
        </w:tc>
      </w:tr>
      <w:tr w:rsidR="00D74CD4" w:rsidRPr="006B4973" w14:paraId="0C3862AE" w14:textId="77777777" w:rsidTr="00A461CA">
        <w:trPr>
          <w:trHeight w:val="355"/>
        </w:trPr>
        <w:tc>
          <w:tcPr>
            <w:tcW w:w="1880" w:type="dxa"/>
            <w:tcBorders>
              <w:top w:val="nil"/>
              <w:left w:val="nil"/>
              <w:bottom w:val="nil"/>
              <w:right w:val="nil"/>
            </w:tcBorders>
            <w:shd w:val="clear" w:color="000000" w:fill="F2F2F2"/>
            <w:vAlign w:val="center"/>
            <w:hideMark/>
          </w:tcPr>
          <w:p w14:paraId="6BBD2994"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Subcuenta 1 (RJPS1)</w:t>
            </w:r>
          </w:p>
        </w:tc>
        <w:tc>
          <w:tcPr>
            <w:tcW w:w="1840" w:type="dxa"/>
            <w:tcBorders>
              <w:top w:val="nil"/>
              <w:left w:val="nil"/>
              <w:bottom w:val="nil"/>
              <w:right w:val="nil"/>
            </w:tcBorders>
            <w:shd w:val="clear" w:color="000000" w:fill="F2F2F2"/>
            <w:vAlign w:val="center"/>
            <w:hideMark/>
          </w:tcPr>
          <w:p w14:paraId="52F1161D"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4,913,630,873.3</w:t>
            </w:r>
          </w:p>
        </w:tc>
        <w:tc>
          <w:tcPr>
            <w:tcW w:w="1980" w:type="dxa"/>
            <w:tcBorders>
              <w:top w:val="nil"/>
              <w:left w:val="nil"/>
              <w:bottom w:val="nil"/>
              <w:right w:val="nil"/>
            </w:tcBorders>
            <w:shd w:val="clear" w:color="000000" w:fill="F2F2F2"/>
            <w:vAlign w:val="center"/>
            <w:hideMark/>
          </w:tcPr>
          <w:p w14:paraId="05EA406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315,491,007.1</w:t>
            </w:r>
          </w:p>
        </w:tc>
        <w:tc>
          <w:tcPr>
            <w:tcW w:w="1060" w:type="dxa"/>
            <w:tcBorders>
              <w:top w:val="nil"/>
              <w:left w:val="nil"/>
              <w:bottom w:val="nil"/>
              <w:right w:val="nil"/>
            </w:tcBorders>
            <w:shd w:val="clear" w:color="000000" w:fill="F2F2F2"/>
            <w:vAlign w:val="center"/>
            <w:hideMark/>
          </w:tcPr>
          <w:p w14:paraId="06B5C8E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nil"/>
              <w:right w:val="nil"/>
            </w:tcBorders>
            <w:shd w:val="clear" w:color="000000" w:fill="F2F2F2"/>
            <w:vAlign w:val="center"/>
            <w:hideMark/>
          </w:tcPr>
          <w:p w14:paraId="06E7ECDB"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bottom w:val="nil"/>
              <w:right w:val="nil"/>
            </w:tcBorders>
            <w:shd w:val="clear" w:color="000000" w:fill="F2F2F2"/>
            <w:vAlign w:val="center"/>
            <w:hideMark/>
          </w:tcPr>
          <w:p w14:paraId="0A7638DF"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-26,032,280.3</w:t>
            </w:r>
          </w:p>
        </w:tc>
        <w:tc>
          <w:tcPr>
            <w:tcW w:w="1660" w:type="dxa"/>
            <w:tcBorders>
              <w:top w:val="nil"/>
              <w:left w:val="nil"/>
              <w:bottom w:val="nil"/>
              <w:right w:val="nil"/>
            </w:tcBorders>
            <w:shd w:val="clear" w:color="000000" w:fill="F2F2F2"/>
            <w:vAlign w:val="center"/>
            <w:hideMark/>
          </w:tcPr>
          <w:p w14:paraId="74707609"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1,009,163,627.1</w:t>
            </w:r>
          </w:p>
        </w:tc>
        <w:tc>
          <w:tcPr>
            <w:tcW w:w="1740" w:type="dxa"/>
            <w:tcBorders>
              <w:top w:val="nil"/>
              <w:left w:val="nil"/>
              <w:bottom w:val="nil"/>
              <w:right w:val="nil"/>
            </w:tcBorders>
            <w:shd w:val="clear" w:color="000000" w:fill="F2F2F2"/>
            <w:vAlign w:val="center"/>
            <w:hideMark/>
          </w:tcPr>
          <w:p w14:paraId="196D2BD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6,212,253,227.2</w:t>
            </w:r>
          </w:p>
        </w:tc>
      </w:tr>
      <w:tr w:rsidR="00D74CD4" w:rsidRPr="006B4973" w14:paraId="28D80284" w14:textId="77777777" w:rsidTr="00A461CA">
        <w:trPr>
          <w:trHeight w:val="355"/>
        </w:trPr>
        <w:tc>
          <w:tcPr>
            <w:tcW w:w="1880" w:type="dxa"/>
            <w:tcBorders>
              <w:top w:val="nil"/>
              <w:left w:val="nil"/>
              <w:right w:val="nil"/>
            </w:tcBorders>
            <w:shd w:val="clear" w:color="000000" w:fill="F2F2F2"/>
            <w:vAlign w:val="center"/>
            <w:hideMark/>
          </w:tcPr>
          <w:p w14:paraId="6A2E52D3" w14:textId="77777777" w:rsidR="00D74CD4" w:rsidRPr="006B4973" w:rsidRDefault="00D74CD4" w:rsidP="00D74CD4">
            <w:pPr>
              <w:spacing w:after="0" w:line="240" w:lineRule="auto"/>
              <w:jc w:val="both"/>
              <w:rPr>
                <w:rFonts w:ascii="Montserrat" w:eastAsia="Times New Roman" w:hAnsi="Montserrat" w:cs="Calibri"/>
                <w:color w:val="000000"/>
                <w:sz w:val="15"/>
                <w:szCs w:val="15"/>
                <w:lang w:val="es-MX" w:eastAsia="es-MX"/>
              </w:rPr>
            </w:pPr>
            <w:r w:rsidRPr="006B4973">
              <w:rPr>
                <w:rFonts w:ascii="Montserrat" w:eastAsia="Times New Roman" w:hAnsi="Montserrat" w:cs="Calibri"/>
                <w:color w:val="000000"/>
                <w:sz w:val="15"/>
                <w:szCs w:val="15"/>
                <w:lang w:eastAsia="es-MX"/>
              </w:rPr>
              <w:t>Subcuenta 2 (RJPS2)</w:t>
            </w:r>
          </w:p>
        </w:tc>
        <w:tc>
          <w:tcPr>
            <w:tcW w:w="1840" w:type="dxa"/>
            <w:tcBorders>
              <w:top w:val="nil"/>
              <w:left w:val="nil"/>
              <w:right w:val="nil"/>
            </w:tcBorders>
            <w:shd w:val="clear" w:color="000000" w:fill="F2F2F2"/>
            <w:vAlign w:val="center"/>
            <w:hideMark/>
          </w:tcPr>
          <w:p w14:paraId="0E2C498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111,545,915,429.4</w:t>
            </w:r>
          </w:p>
        </w:tc>
        <w:tc>
          <w:tcPr>
            <w:tcW w:w="1980" w:type="dxa"/>
            <w:tcBorders>
              <w:top w:val="nil"/>
              <w:left w:val="nil"/>
              <w:right w:val="nil"/>
            </w:tcBorders>
            <w:shd w:val="clear" w:color="000000" w:fill="F2F2F2"/>
            <w:vAlign w:val="center"/>
            <w:hideMark/>
          </w:tcPr>
          <w:p w14:paraId="540DE14A"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5,977,109,944.6</w:t>
            </w:r>
          </w:p>
        </w:tc>
        <w:tc>
          <w:tcPr>
            <w:tcW w:w="1060" w:type="dxa"/>
            <w:tcBorders>
              <w:top w:val="nil"/>
              <w:left w:val="nil"/>
              <w:right w:val="nil"/>
            </w:tcBorders>
            <w:shd w:val="clear" w:color="000000" w:fill="F2F2F2"/>
            <w:vAlign w:val="center"/>
            <w:hideMark/>
          </w:tcPr>
          <w:p w14:paraId="3388A987"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right w:val="nil"/>
            </w:tcBorders>
            <w:shd w:val="clear" w:color="000000" w:fill="F2F2F2"/>
            <w:vAlign w:val="center"/>
            <w:hideMark/>
          </w:tcPr>
          <w:p w14:paraId="1CDC6B2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 xml:space="preserve"> -   </w:t>
            </w:r>
          </w:p>
        </w:tc>
        <w:tc>
          <w:tcPr>
            <w:tcW w:w="1720" w:type="dxa"/>
            <w:tcBorders>
              <w:top w:val="nil"/>
              <w:left w:val="nil"/>
              <w:right w:val="nil"/>
            </w:tcBorders>
            <w:shd w:val="clear" w:color="000000" w:fill="F2F2F2"/>
            <w:vAlign w:val="center"/>
            <w:hideMark/>
          </w:tcPr>
          <w:p w14:paraId="4F065E40"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-9,684,867,559.9</w:t>
            </w:r>
          </w:p>
        </w:tc>
        <w:tc>
          <w:tcPr>
            <w:tcW w:w="1660" w:type="dxa"/>
            <w:tcBorders>
              <w:top w:val="nil"/>
              <w:left w:val="nil"/>
              <w:right w:val="nil"/>
            </w:tcBorders>
            <w:shd w:val="clear" w:color="000000" w:fill="F2F2F2"/>
            <w:vAlign w:val="center"/>
            <w:hideMark/>
          </w:tcPr>
          <w:p w14:paraId="425A9CDC"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3,381,841,543.3</w:t>
            </w:r>
          </w:p>
        </w:tc>
        <w:tc>
          <w:tcPr>
            <w:tcW w:w="1740" w:type="dxa"/>
            <w:tcBorders>
              <w:top w:val="nil"/>
              <w:left w:val="nil"/>
              <w:right w:val="nil"/>
            </w:tcBorders>
            <w:shd w:val="clear" w:color="000000" w:fill="F2F2F2"/>
            <w:vAlign w:val="center"/>
            <w:hideMark/>
          </w:tcPr>
          <w:p w14:paraId="29407512" w14:textId="77777777" w:rsidR="00D74CD4" w:rsidRPr="006B4973" w:rsidRDefault="00D74CD4" w:rsidP="00D74CD4">
            <w:pPr>
              <w:spacing w:after="0" w:line="240" w:lineRule="auto"/>
              <w:jc w:val="right"/>
              <w:rPr>
                <w:rFonts w:ascii="Montserrat" w:eastAsia="Times New Roman" w:hAnsi="Montserrat" w:cs="Calibri"/>
                <w:color w:val="000000"/>
                <w:sz w:val="15"/>
                <w:szCs w:val="15"/>
                <w:lang w:val="es-MX" w:eastAsia="es-MX"/>
              </w:rPr>
            </w:pPr>
            <w:r>
              <w:rPr>
                <w:rFonts w:ascii="Montserrat" w:hAnsi="Montserrat" w:cs="Calibri"/>
                <w:color w:val="000000"/>
                <w:sz w:val="15"/>
                <w:szCs w:val="15"/>
              </w:rPr>
              <w:t>111,219,999,357.4</w:t>
            </w:r>
          </w:p>
        </w:tc>
      </w:tr>
      <w:tr w:rsidR="00D74CD4" w:rsidRPr="006B4973" w14:paraId="1FA2A020" w14:textId="77777777" w:rsidTr="00A461CA">
        <w:trPr>
          <w:trHeight w:val="461"/>
        </w:trPr>
        <w:tc>
          <w:tcPr>
            <w:tcW w:w="1880" w:type="dxa"/>
            <w:tcBorders>
              <w:top w:val="nil"/>
              <w:left w:val="nil"/>
              <w:bottom w:val="single" w:sz="4" w:space="0" w:color="auto"/>
              <w:right w:val="nil"/>
            </w:tcBorders>
            <w:shd w:val="clear" w:color="000000" w:fill="F2F2F2"/>
            <w:vAlign w:val="center"/>
            <w:hideMark/>
          </w:tcPr>
          <w:p w14:paraId="01E546AB" w14:textId="77777777" w:rsidR="00D74CD4" w:rsidRPr="006B4973" w:rsidRDefault="00D74CD4" w:rsidP="00D74CD4">
            <w:pPr>
              <w:spacing w:after="0" w:line="240" w:lineRule="auto"/>
              <w:jc w:val="both"/>
              <w:rPr>
                <w:rFonts w:ascii="Montserrat" w:eastAsia="Times New Roman" w:hAnsi="Montserrat" w:cs="Calibri"/>
                <w:b/>
                <w:bCs/>
                <w:color w:val="000000"/>
                <w:sz w:val="15"/>
                <w:szCs w:val="15"/>
                <w:lang w:val="es-MX" w:eastAsia="es-MX"/>
              </w:rPr>
            </w:pPr>
            <w:r w:rsidRPr="006B4973">
              <w:rPr>
                <w:rFonts w:ascii="Montserrat" w:eastAsia="Times New Roman" w:hAnsi="Montserrat" w:cs="Calibri"/>
                <w:b/>
                <w:bCs/>
                <w:color w:val="000000"/>
                <w:sz w:val="15"/>
                <w:szCs w:val="15"/>
                <w:lang w:eastAsia="es-MX"/>
              </w:rPr>
              <w:t>Total Reservas y Fondo Laboral</w:t>
            </w:r>
          </w:p>
        </w:tc>
        <w:tc>
          <w:tcPr>
            <w:tcW w:w="1840" w:type="dxa"/>
            <w:tcBorders>
              <w:top w:val="nil"/>
              <w:left w:val="nil"/>
              <w:bottom w:val="single" w:sz="4" w:space="0" w:color="auto"/>
              <w:right w:val="nil"/>
            </w:tcBorders>
            <w:shd w:val="clear" w:color="000000" w:fill="F2F2F2"/>
            <w:vAlign w:val="center"/>
            <w:hideMark/>
          </w:tcPr>
          <w:p w14:paraId="53D4B0E3"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326,130,132,130.8</w:t>
            </w:r>
          </w:p>
        </w:tc>
        <w:tc>
          <w:tcPr>
            <w:tcW w:w="1980" w:type="dxa"/>
            <w:tcBorders>
              <w:top w:val="nil"/>
              <w:left w:val="nil"/>
              <w:bottom w:val="single" w:sz="4" w:space="0" w:color="auto"/>
              <w:right w:val="nil"/>
            </w:tcBorders>
            <w:shd w:val="clear" w:color="000000" w:fill="F2F2F2"/>
            <w:vAlign w:val="center"/>
            <w:hideMark/>
          </w:tcPr>
          <w:p w14:paraId="2192D919"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19,472,216,484.6</w:t>
            </w:r>
          </w:p>
        </w:tc>
        <w:tc>
          <w:tcPr>
            <w:tcW w:w="1060" w:type="dxa"/>
            <w:tcBorders>
              <w:top w:val="nil"/>
              <w:left w:val="nil"/>
              <w:bottom w:val="single" w:sz="4" w:space="0" w:color="auto"/>
              <w:right w:val="nil"/>
            </w:tcBorders>
            <w:shd w:val="clear" w:color="000000" w:fill="F2F2F2"/>
            <w:vAlign w:val="center"/>
            <w:hideMark/>
          </w:tcPr>
          <w:p w14:paraId="199F5C64"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color w:val="000000"/>
                <w:sz w:val="15"/>
                <w:szCs w:val="15"/>
              </w:rPr>
              <w:t xml:space="preserve"> -   </w:t>
            </w:r>
          </w:p>
        </w:tc>
        <w:tc>
          <w:tcPr>
            <w:tcW w:w="1380" w:type="dxa"/>
            <w:tcBorders>
              <w:top w:val="nil"/>
              <w:left w:val="nil"/>
              <w:bottom w:val="single" w:sz="4" w:space="0" w:color="auto"/>
              <w:right w:val="nil"/>
            </w:tcBorders>
            <w:shd w:val="clear" w:color="000000" w:fill="F2F2F2"/>
            <w:vAlign w:val="center"/>
            <w:hideMark/>
          </w:tcPr>
          <w:p w14:paraId="11A826AC"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1,775,000,000.0</w:t>
            </w:r>
          </w:p>
        </w:tc>
        <w:tc>
          <w:tcPr>
            <w:tcW w:w="1720" w:type="dxa"/>
            <w:tcBorders>
              <w:top w:val="nil"/>
              <w:left w:val="nil"/>
              <w:bottom w:val="single" w:sz="4" w:space="0" w:color="auto"/>
              <w:right w:val="nil"/>
            </w:tcBorders>
            <w:shd w:val="clear" w:color="000000" w:fill="F2F2F2"/>
            <w:vAlign w:val="center"/>
            <w:hideMark/>
          </w:tcPr>
          <w:p w14:paraId="7AE04CC1"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-15,881,829,731.2</w:t>
            </w:r>
          </w:p>
        </w:tc>
        <w:tc>
          <w:tcPr>
            <w:tcW w:w="1660" w:type="dxa"/>
            <w:tcBorders>
              <w:top w:val="nil"/>
              <w:left w:val="nil"/>
              <w:bottom w:val="single" w:sz="4" w:space="0" w:color="auto"/>
              <w:right w:val="nil"/>
            </w:tcBorders>
            <w:shd w:val="clear" w:color="000000" w:fill="F2F2F2"/>
            <w:vAlign w:val="center"/>
            <w:hideMark/>
          </w:tcPr>
          <w:p w14:paraId="09ED71C4"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42,633,325,601.1</w:t>
            </w:r>
          </w:p>
        </w:tc>
        <w:tc>
          <w:tcPr>
            <w:tcW w:w="1740" w:type="dxa"/>
            <w:tcBorders>
              <w:top w:val="nil"/>
              <w:left w:val="nil"/>
              <w:bottom w:val="single" w:sz="4" w:space="0" w:color="auto"/>
              <w:right w:val="nil"/>
            </w:tcBorders>
            <w:shd w:val="clear" w:color="000000" w:fill="F2F2F2"/>
            <w:vAlign w:val="center"/>
            <w:hideMark/>
          </w:tcPr>
          <w:p w14:paraId="7532242C" w14:textId="77777777" w:rsidR="00D74CD4" w:rsidRPr="006B4973" w:rsidRDefault="00D74CD4" w:rsidP="00D74CD4">
            <w:pPr>
              <w:spacing w:after="0" w:line="240" w:lineRule="auto"/>
              <w:jc w:val="right"/>
              <w:rPr>
                <w:rFonts w:ascii="Montserrat" w:eastAsia="Times New Roman" w:hAnsi="Montserrat" w:cs="Calibri"/>
                <w:b/>
                <w:bCs/>
                <w:color w:val="000000"/>
                <w:sz w:val="15"/>
                <w:szCs w:val="15"/>
                <w:lang w:val="es-MX" w:eastAsia="es-MX"/>
              </w:rPr>
            </w:pPr>
            <w:r>
              <w:rPr>
                <w:rFonts w:ascii="Montserrat" w:hAnsi="Montserrat" w:cs="Calibri"/>
                <w:b/>
                <w:bCs/>
                <w:color w:val="000000"/>
                <w:sz w:val="15"/>
                <w:szCs w:val="15"/>
              </w:rPr>
              <w:t>374,128,844,485.3</w:t>
            </w:r>
          </w:p>
        </w:tc>
      </w:tr>
    </w:tbl>
    <w:p w14:paraId="3CE5B415" w14:textId="77777777" w:rsidR="002C1B01" w:rsidRPr="0039371B" w:rsidRDefault="002C1B01" w:rsidP="009D5C48">
      <w:pPr>
        <w:pStyle w:val="TEXTONORMAL"/>
        <w:rPr>
          <w:highlight w:val="yellow"/>
          <w:lang w:val="es-MX"/>
        </w:rPr>
      </w:pPr>
    </w:p>
    <w:p w14:paraId="533A55E8" w14:textId="77777777" w:rsidR="002C1B01" w:rsidRPr="0039371B" w:rsidRDefault="002C1B01" w:rsidP="009D5C48">
      <w:pPr>
        <w:pStyle w:val="TEXTONORMAL"/>
        <w:rPr>
          <w:highlight w:val="yellow"/>
          <w:lang w:val="es-MX"/>
        </w:rPr>
      </w:pPr>
    </w:p>
    <w:p w14:paraId="7FFE7BAC" w14:textId="77777777" w:rsidR="002C1B01" w:rsidRPr="0039371B" w:rsidRDefault="002C1B01" w:rsidP="009D5C48">
      <w:pPr>
        <w:pStyle w:val="TEXTONORMAL"/>
        <w:rPr>
          <w:highlight w:val="yellow"/>
          <w:lang w:val="es-MX"/>
        </w:rPr>
      </w:pPr>
    </w:p>
    <w:p w14:paraId="60DB5FE2" w14:textId="77777777" w:rsidR="002C1B01" w:rsidRPr="0039371B" w:rsidRDefault="002C1B01" w:rsidP="009D5C48">
      <w:pPr>
        <w:pStyle w:val="TEXTONORMAL"/>
        <w:rPr>
          <w:highlight w:val="yellow"/>
          <w:lang w:val="es-MX"/>
        </w:rPr>
      </w:pPr>
    </w:p>
    <w:tbl>
      <w:tblPr>
        <w:tblW w:w="13288" w:type="dxa"/>
        <w:jc w:val="center"/>
        <w:tblLayout w:type="fixed"/>
        <w:tblCellMar>
          <w:left w:w="70" w:type="dxa"/>
          <w:right w:w="70" w:type="dxa"/>
        </w:tblCellMar>
        <w:tblLook w:val="04A0" w:firstRow="1" w:lastRow="0" w:firstColumn="1" w:lastColumn="0" w:noHBand="0" w:noVBand="1"/>
      </w:tblPr>
      <w:tblGrid>
        <w:gridCol w:w="3166"/>
        <w:gridCol w:w="1590"/>
        <w:gridCol w:w="1447"/>
        <w:gridCol w:w="1012"/>
        <w:gridCol w:w="1446"/>
        <w:gridCol w:w="1591"/>
        <w:gridCol w:w="1446"/>
        <w:gridCol w:w="1590"/>
      </w:tblGrid>
      <w:tr w:rsidR="00926425" w:rsidRPr="0039371B" w14:paraId="2EB8DD09" w14:textId="77777777" w:rsidTr="00A461CA">
        <w:trPr>
          <w:trHeight w:val="466"/>
          <w:jc w:val="center"/>
        </w:trPr>
        <w:tc>
          <w:tcPr>
            <w:tcW w:w="316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AFA383E"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lastRenderedPageBreak/>
              <w:t>Concepto</w:t>
            </w:r>
          </w:p>
        </w:tc>
        <w:tc>
          <w:tcPr>
            <w:tcW w:w="10122" w:type="dxa"/>
            <w:gridSpan w:val="7"/>
            <w:tcBorders>
              <w:top w:val="single" w:sz="12" w:space="0" w:color="808080"/>
              <w:left w:val="nil"/>
              <w:bottom w:val="single" w:sz="12" w:space="0" w:color="FFFFFF"/>
              <w:right w:val="nil"/>
            </w:tcBorders>
            <w:shd w:val="clear" w:color="000000" w:fill="D4C19C"/>
            <w:vAlign w:val="center"/>
            <w:hideMark/>
          </w:tcPr>
          <w:p w14:paraId="4C4C85E1"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Cifras en pesos al 31 de diciembre de 2021</w:t>
            </w:r>
          </w:p>
        </w:tc>
      </w:tr>
      <w:tr w:rsidR="00BD2E38" w:rsidRPr="0039371B" w14:paraId="0D609349" w14:textId="77777777" w:rsidTr="00A461CA">
        <w:trPr>
          <w:trHeight w:val="444"/>
          <w:jc w:val="center"/>
        </w:trPr>
        <w:tc>
          <w:tcPr>
            <w:tcW w:w="3166" w:type="dxa"/>
            <w:vMerge/>
            <w:tcBorders>
              <w:top w:val="single" w:sz="12" w:space="0" w:color="808080"/>
              <w:left w:val="single" w:sz="12" w:space="0" w:color="FFFFFF"/>
              <w:bottom w:val="double" w:sz="6" w:space="0" w:color="808080"/>
              <w:right w:val="single" w:sz="12" w:space="0" w:color="FFFFFF"/>
            </w:tcBorders>
            <w:vAlign w:val="center"/>
            <w:hideMark/>
          </w:tcPr>
          <w:p w14:paraId="05046303"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p>
        </w:tc>
        <w:tc>
          <w:tcPr>
            <w:tcW w:w="159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14571B2C"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Saldo Inicial</w:t>
            </w:r>
          </w:p>
        </w:tc>
        <w:tc>
          <w:tcPr>
            <w:tcW w:w="1447"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6CBA197C"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Productos y Gastos Financieros</w:t>
            </w:r>
          </w:p>
        </w:tc>
        <w:tc>
          <w:tcPr>
            <w:tcW w:w="1012"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3A709439"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Deterioro</w:t>
            </w:r>
          </w:p>
        </w:tc>
        <w:tc>
          <w:tcPr>
            <w:tcW w:w="1446"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0BF31106"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Dividendos</w:t>
            </w:r>
          </w:p>
        </w:tc>
        <w:tc>
          <w:tcPr>
            <w:tcW w:w="1591" w:type="dxa"/>
            <w:tcBorders>
              <w:top w:val="nil"/>
              <w:left w:val="nil"/>
              <w:bottom w:val="nil"/>
              <w:right w:val="nil"/>
            </w:tcBorders>
            <w:shd w:val="clear" w:color="000000" w:fill="D4C19C"/>
            <w:vAlign w:val="center"/>
            <w:hideMark/>
          </w:tcPr>
          <w:p w14:paraId="06E0BD25" w14:textId="77777777" w:rsidR="00926425" w:rsidRPr="00C97063" w:rsidRDefault="00926425" w:rsidP="00BD2E38">
            <w:pPr>
              <w:spacing w:after="0" w:line="240" w:lineRule="auto"/>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Plusvalía/</w:t>
            </w:r>
          </w:p>
        </w:tc>
        <w:tc>
          <w:tcPr>
            <w:tcW w:w="1446"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76C4DD20"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 xml:space="preserve">Transferencias </w:t>
            </w:r>
          </w:p>
        </w:tc>
        <w:tc>
          <w:tcPr>
            <w:tcW w:w="1590" w:type="dxa"/>
            <w:vMerge w:val="restart"/>
            <w:tcBorders>
              <w:top w:val="nil"/>
              <w:left w:val="single" w:sz="12" w:space="0" w:color="FFFFFF"/>
              <w:bottom w:val="double" w:sz="6" w:space="0" w:color="808080"/>
              <w:right w:val="nil"/>
            </w:tcBorders>
            <w:shd w:val="clear" w:color="000000" w:fill="D4C19C"/>
            <w:vAlign w:val="center"/>
            <w:hideMark/>
          </w:tcPr>
          <w:p w14:paraId="796406AA" w14:textId="77777777" w:rsidR="00926425" w:rsidRPr="00C97063" w:rsidRDefault="00926425" w:rsidP="006B29AE">
            <w:pPr>
              <w:spacing w:after="0" w:line="240" w:lineRule="exact"/>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eastAsia="es-MX"/>
              </w:rPr>
              <w:t xml:space="preserve">Saldo Final </w:t>
            </w:r>
          </w:p>
        </w:tc>
      </w:tr>
      <w:tr w:rsidR="00BD2E38" w:rsidRPr="0039371B" w14:paraId="4E87F4A7" w14:textId="77777777" w:rsidTr="00A461CA">
        <w:trPr>
          <w:trHeight w:val="422"/>
          <w:jc w:val="center"/>
        </w:trPr>
        <w:tc>
          <w:tcPr>
            <w:tcW w:w="3166" w:type="dxa"/>
            <w:vMerge/>
            <w:tcBorders>
              <w:top w:val="single" w:sz="12" w:space="0" w:color="808080"/>
              <w:left w:val="single" w:sz="12" w:space="0" w:color="FFFFFF"/>
              <w:bottom w:val="double" w:sz="6" w:space="0" w:color="808080"/>
              <w:right w:val="single" w:sz="12" w:space="0" w:color="FFFFFF"/>
            </w:tcBorders>
            <w:vAlign w:val="center"/>
            <w:hideMark/>
          </w:tcPr>
          <w:p w14:paraId="4CFEFDCF"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single" w:sz="12" w:space="0" w:color="FFFFFF"/>
            </w:tcBorders>
            <w:vAlign w:val="center"/>
            <w:hideMark/>
          </w:tcPr>
          <w:p w14:paraId="6D5BC111"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7" w:type="dxa"/>
            <w:vMerge/>
            <w:tcBorders>
              <w:top w:val="nil"/>
              <w:left w:val="single" w:sz="12" w:space="0" w:color="FFFFFF"/>
              <w:bottom w:val="double" w:sz="6" w:space="0" w:color="808080"/>
              <w:right w:val="single" w:sz="12" w:space="0" w:color="FFFFFF"/>
            </w:tcBorders>
            <w:vAlign w:val="center"/>
            <w:hideMark/>
          </w:tcPr>
          <w:p w14:paraId="740AA554"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012" w:type="dxa"/>
            <w:vMerge/>
            <w:tcBorders>
              <w:top w:val="nil"/>
              <w:left w:val="single" w:sz="12" w:space="0" w:color="FFFFFF"/>
              <w:bottom w:val="double" w:sz="6" w:space="0" w:color="808080"/>
              <w:right w:val="single" w:sz="12" w:space="0" w:color="FFFFFF"/>
            </w:tcBorders>
            <w:vAlign w:val="center"/>
            <w:hideMark/>
          </w:tcPr>
          <w:p w14:paraId="577586F8"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52C7B0E2"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1" w:type="dxa"/>
            <w:tcBorders>
              <w:top w:val="nil"/>
              <w:left w:val="nil"/>
              <w:bottom w:val="nil"/>
              <w:right w:val="nil"/>
            </w:tcBorders>
            <w:shd w:val="clear" w:color="000000" w:fill="D4C19C"/>
            <w:vAlign w:val="center"/>
            <w:hideMark/>
          </w:tcPr>
          <w:p w14:paraId="51D9B14E" w14:textId="77777777" w:rsidR="00926425" w:rsidRPr="00C97063" w:rsidRDefault="00926425" w:rsidP="00BD2E38">
            <w:pPr>
              <w:spacing w:after="0" w:line="240" w:lineRule="auto"/>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val="es-MX" w:eastAsia="es-MX"/>
              </w:rPr>
              <w:t>Minusvalía</w:t>
            </w:r>
          </w:p>
        </w:tc>
        <w:tc>
          <w:tcPr>
            <w:tcW w:w="1446" w:type="dxa"/>
            <w:vMerge/>
            <w:tcBorders>
              <w:top w:val="nil"/>
              <w:left w:val="single" w:sz="12" w:space="0" w:color="FFFFFF"/>
              <w:bottom w:val="double" w:sz="6" w:space="0" w:color="808080"/>
              <w:right w:val="single" w:sz="12" w:space="0" w:color="FFFFFF"/>
            </w:tcBorders>
            <w:vAlign w:val="center"/>
            <w:hideMark/>
          </w:tcPr>
          <w:p w14:paraId="2773EA0F"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nil"/>
            </w:tcBorders>
            <w:vAlign w:val="center"/>
            <w:hideMark/>
          </w:tcPr>
          <w:p w14:paraId="24E70A6E"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r>
      <w:tr w:rsidR="00BD2E38" w:rsidRPr="0039371B" w14:paraId="04237FCF" w14:textId="77777777" w:rsidTr="00A461CA">
        <w:trPr>
          <w:trHeight w:val="422"/>
          <w:jc w:val="center"/>
        </w:trPr>
        <w:tc>
          <w:tcPr>
            <w:tcW w:w="3166" w:type="dxa"/>
            <w:vMerge/>
            <w:tcBorders>
              <w:top w:val="single" w:sz="12" w:space="0" w:color="808080"/>
              <w:left w:val="single" w:sz="12" w:space="0" w:color="FFFFFF"/>
              <w:bottom w:val="double" w:sz="6" w:space="0" w:color="808080"/>
              <w:right w:val="single" w:sz="12" w:space="0" w:color="FFFFFF"/>
            </w:tcBorders>
            <w:vAlign w:val="center"/>
            <w:hideMark/>
          </w:tcPr>
          <w:p w14:paraId="50C18A93"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single" w:sz="12" w:space="0" w:color="FFFFFF"/>
            </w:tcBorders>
            <w:vAlign w:val="center"/>
            <w:hideMark/>
          </w:tcPr>
          <w:p w14:paraId="2BEE166D"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7" w:type="dxa"/>
            <w:vMerge/>
            <w:tcBorders>
              <w:top w:val="nil"/>
              <w:left w:val="single" w:sz="12" w:space="0" w:color="FFFFFF"/>
              <w:bottom w:val="double" w:sz="6" w:space="0" w:color="808080"/>
              <w:right w:val="single" w:sz="12" w:space="0" w:color="FFFFFF"/>
            </w:tcBorders>
            <w:vAlign w:val="center"/>
            <w:hideMark/>
          </w:tcPr>
          <w:p w14:paraId="67DF1216"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012" w:type="dxa"/>
            <w:vMerge/>
            <w:tcBorders>
              <w:top w:val="nil"/>
              <w:left w:val="single" w:sz="12" w:space="0" w:color="FFFFFF"/>
              <w:bottom w:val="double" w:sz="6" w:space="0" w:color="808080"/>
              <w:right w:val="single" w:sz="12" w:space="0" w:color="FFFFFF"/>
            </w:tcBorders>
            <w:vAlign w:val="center"/>
            <w:hideMark/>
          </w:tcPr>
          <w:p w14:paraId="73C5C28F"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04C5EFB9"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1" w:type="dxa"/>
            <w:tcBorders>
              <w:top w:val="nil"/>
              <w:left w:val="nil"/>
              <w:bottom w:val="nil"/>
              <w:right w:val="nil"/>
            </w:tcBorders>
            <w:shd w:val="clear" w:color="000000" w:fill="D4C19C"/>
            <w:vAlign w:val="center"/>
            <w:hideMark/>
          </w:tcPr>
          <w:p w14:paraId="388A44C7" w14:textId="77777777" w:rsidR="00926425" w:rsidRPr="00C97063" w:rsidRDefault="00926425" w:rsidP="00BD2E38">
            <w:pPr>
              <w:spacing w:after="0" w:line="240" w:lineRule="auto"/>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val="es-MX" w:eastAsia="es-MX"/>
              </w:rPr>
              <w:t>Valuación</w:t>
            </w:r>
          </w:p>
        </w:tc>
        <w:tc>
          <w:tcPr>
            <w:tcW w:w="1446" w:type="dxa"/>
            <w:vMerge/>
            <w:tcBorders>
              <w:top w:val="nil"/>
              <w:left w:val="single" w:sz="12" w:space="0" w:color="FFFFFF"/>
              <w:bottom w:val="double" w:sz="6" w:space="0" w:color="808080"/>
              <w:right w:val="single" w:sz="12" w:space="0" w:color="FFFFFF"/>
            </w:tcBorders>
            <w:vAlign w:val="center"/>
            <w:hideMark/>
          </w:tcPr>
          <w:p w14:paraId="2B7D6574"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nil"/>
            </w:tcBorders>
            <w:vAlign w:val="center"/>
            <w:hideMark/>
          </w:tcPr>
          <w:p w14:paraId="04A9E0D8"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r>
      <w:tr w:rsidR="00BD2E38" w:rsidRPr="0039371B" w14:paraId="576425E2" w14:textId="77777777" w:rsidTr="00A461CA">
        <w:trPr>
          <w:trHeight w:val="48"/>
          <w:jc w:val="center"/>
        </w:trPr>
        <w:tc>
          <w:tcPr>
            <w:tcW w:w="3166" w:type="dxa"/>
            <w:vMerge/>
            <w:tcBorders>
              <w:top w:val="single" w:sz="12" w:space="0" w:color="808080"/>
              <w:left w:val="single" w:sz="12" w:space="0" w:color="FFFFFF"/>
              <w:bottom w:val="double" w:sz="6" w:space="0" w:color="808080"/>
              <w:right w:val="single" w:sz="12" w:space="0" w:color="FFFFFF"/>
            </w:tcBorders>
            <w:vAlign w:val="center"/>
            <w:hideMark/>
          </w:tcPr>
          <w:p w14:paraId="60EAEAA9"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single" w:sz="12" w:space="0" w:color="FFFFFF"/>
            </w:tcBorders>
            <w:vAlign w:val="center"/>
            <w:hideMark/>
          </w:tcPr>
          <w:p w14:paraId="2F3933A8"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7" w:type="dxa"/>
            <w:vMerge/>
            <w:tcBorders>
              <w:top w:val="nil"/>
              <w:left w:val="single" w:sz="12" w:space="0" w:color="FFFFFF"/>
              <w:bottom w:val="double" w:sz="6" w:space="0" w:color="808080"/>
              <w:right w:val="single" w:sz="12" w:space="0" w:color="FFFFFF"/>
            </w:tcBorders>
            <w:vAlign w:val="center"/>
            <w:hideMark/>
          </w:tcPr>
          <w:p w14:paraId="407F7AD7"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012" w:type="dxa"/>
            <w:vMerge/>
            <w:tcBorders>
              <w:top w:val="nil"/>
              <w:left w:val="single" w:sz="12" w:space="0" w:color="FFFFFF"/>
              <w:bottom w:val="double" w:sz="6" w:space="0" w:color="808080"/>
              <w:right w:val="single" w:sz="12" w:space="0" w:color="FFFFFF"/>
            </w:tcBorders>
            <w:vAlign w:val="center"/>
            <w:hideMark/>
          </w:tcPr>
          <w:p w14:paraId="75985688"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703C83BC"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1" w:type="dxa"/>
            <w:tcBorders>
              <w:top w:val="nil"/>
              <w:left w:val="nil"/>
              <w:bottom w:val="double" w:sz="6" w:space="0" w:color="808080"/>
              <w:right w:val="nil"/>
            </w:tcBorders>
            <w:shd w:val="clear" w:color="000000" w:fill="D4C19C"/>
            <w:vAlign w:val="center"/>
            <w:hideMark/>
          </w:tcPr>
          <w:p w14:paraId="5C96A587" w14:textId="77777777" w:rsidR="00926425" w:rsidRPr="00C97063" w:rsidRDefault="00926425" w:rsidP="00BD2E38">
            <w:pPr>
              <w:spacing w:after="0" w:line="240" w:lineRule="auto"/>
              <w:jc w:val="center"/>
              <w:rPr>
                <w:rFonts w:ascii="Montserrat" w:eastAsia="Times New Roman" w:hAnsi="Montserrat"/>
                <w:b/>
                <w:bCs/>
                <w:color w:val="FFFFFF"/>
                <w:sz w:val="16"/>
                <w:szCs w:val="16"/>
                <w:lang w:val="es-MX" w:eastAsia="es-MX"/>
              </w:rPr>
            </w:pPr>
            <w:r w:rsidRPr="00C97063">
              <w:rPr>
                <w:rFonts w:ascii="Montserrat" w:eastAsia="Times New Roman" w:hAnsi="Montserrat"/>
                <w:b/>
                <w:bCs/>
                <w:color w:val="FFFFFF"/>
                <w:sz w:val="16"/>
                <w:szCs w:val="16"/>
                <w:lang w:val="es-MX" w:eastAsia="es-MX"/>
              </w:rPr>
              <w:t>a Mercado</w:t>
            </w:r>
          </w:p>
        </w:tc>
        <w:tc>
          <w:tcPr>
            <w:tcW w:w="1446" w:type="dxa"/>
            <w:vMerge/>
            <w:tcBorders>
              <w:top w:val="nil"/>
              <w:left w:val="single" w:sz="12" w:space="0" w:color="FFFFFF"/>
              <w:bottom w:val="double" w:sz="6" w:space="0" w:color="808080"/>
              <w:right w:val="single" w:sz="12" w:space="0" w:color="FFFFFF"/>
            </w:tcBorders>
            <w:vAlign w:val="center"/>
            <w:hideMark/>
          </w:tcPr>
          <w:p w14:paraId="1A590AFB"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c>
          <w:tcPr>
            <w:tcW w:w="1590" w:type="dxa"/>
            <w:vMerge/>
            <w:tcBorders>
              <w:top w:val="nil"/>
              <w:left w:val="single" w:sz="12" w:space="0" w:color="FFFFFF"/>
              <w:bottom w:val="double" w:sz="6" w:space="0" w:color="808080"/>
              <w:right w:val="nil"/>
            </w:tcBorders>
            <w:vAlign w:val="center"/>
            <w:hideMark/>
          </w:tcPr>
          <w:p w14:paraId="6506F7FA" w14:textId="77777777" w:rsidR="00926425" w:rsidRPr="00C97063" w:rsidRDefault="00926425" w:rsidP="006B29AE">
            <w:pPr>
              <w:spacing w:after="0" w:line="240" w:lineRule="auto"/>
              <w:rPr>
                <w:rFonts w:ascii="Montserrat" w:eastAsia="Times New Roman" w:hAnsi="Montserrat"/>
                <w:b/>
                <w:bCs/>
                <w:color w:val="FFFFFF"/>
                <w:sz w:val="12"/>
                <w:szCs w:val="12"/>
                <w:lang w:val="es-MX" w:eastAsia="es-MX"/>
              </w:rPr>
            </w:pPr>
          </w:p>
        </w:tc>
      </w:tr>
      <w:tr w:rsidR="00BD2E38" w:rsidRPr="0039371B" w14:paraId="276EAC55" w14:textId="77777777" w:rsidTr="00A461CA">
        <w:trPr>
          <w:trHeight w:val="143"/>
          <w:jc w:val="center"/>
        </w:trPr>
        <w:tc>
          <w:tcPr>
            <w:tcW w:w="3166" w:type="dxa"/>
            <w:tcBorders>
              <w:top w:val="nil"/>
              <w:left w:val="nil"/>
              <w:bottom w:val="nil"/>
              <w:right w:val="nil"/>
            </w:tcBorders>
            <w:shd w:val="clear" w:color="000000" w:fill="F2F2F2"/>
            <w:vAlign w:val="center"/>
            <w:hideMark/>
          </w:tcPr>
          <w:p w14:paraId="380E36CE"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RFA Invalidez y Vida</w:t>
            </w:r>
          </w:p>
        </w:tc>
        <w:tc>
          <w:tcPr>
            <w:tcW w:w="1590" w:type="dxa"/>
            <w:tcBorders>
              <w:top w:val="nil"/>
              <w:left w:val="nil"/>
              <w:bottom w:val="nil"/>
              <w:right w:val="nil"/>
            </w:tcBorders>
            <w:shd w:val="clear" w:color="000000" w:fill="F2F2F2"/>
            <w:vAlign w:val="center"/>
            <w:hideMark/>
          </w:tcPr>
          <w:p w14:paraId="14593F4D"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15,914,561,346.6</w:t>
            </w:r>
          </w:p>
        </w:tc>
        <w:tc>
          <w:tcPr>
            <w:tcW w:w="1447" w:type="dxa"/>
            <w:tcBorders>
              <w:top w:val="nil"/>
              <w:left w:val="nil"/>
              <w:bottom w:val="nil"/>
              <w:right w:val="nil"/>
            </w:tcBorders>
            <w:shd w:val="clear" w:color="000000" w:fill="F2F2F2"/>
            <w:vAlign w:val="center"/>
            <w:hideMark/>
          </w:tcPr>
          <w:p w14:paraId="3EDE24DF"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1,472,738,605.6</w:t>
            </w:r>
          </w:p>
        </w:tc>
        <w:tc>
          <w:tcPr>
            <w:tcW w:w="1012" w:type="dxa"/>
            <w:tcBorders>
              <w:top w:val="nil"/>
              <w:left w:val="nil"/>
              <w:bottom w:val="nil"/>
              <w:right w:val="nil"/>
            </w:tcBorders>
            <w:shd w:val="clear" w:color="000000" w:fill="F2F2F2"/>
            <w:vAlign w:val="center"/>
          </w:tcPr>
          <w:p w14:paraId="6B3945D1"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0F3855B8"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959,537,180.7</w:t>
            </w:r>
          </w:p>
        </w:tc>
        <w:tc>
          <w:tcPr>
            <w:tcW w:w="1591" w:type="dxa"/>
            <w:tcBorders>
              <w:top w:val="nil"/>
              <w:left w:val="nil"/>
              <w:bottom w:val="nil"/>
              <w:right w:val="nil"/>
            </w:tcBorders>
            <w:shd w:val="clear" w:color="000000" w:fill="F2F2F2"/>
            <w:vAlign w:val="center"/>
            <w:hideMark/>
          </w:tcPr>
          <w:p w14:paraId="7F3D31C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-2,820,241.5</w:t>
            </w:r>
          </w:p>
        </w:tc>
        <w:tc>
          <w:tcPr>
            <w:tcW w:w="1446" w:type="dxa"/>
            <w:tcBorders>
              <w:top w:val="nil"/>
              <w:left w:val="nil"/>
              <w:bottom w:val="nil"/>
              <w:right w:val="nil"/>
            </w:tcBorders>
            <w:shd w:val="clear" w:color="000000" w:fill="F2F2F2"/>
            <w:vAlign w:val="center"/>
            <w:hideMark/>
          </w:tcPr>
          <w:p w14:paraId="69ACB45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-11,066.7</w:t>
            </w:r>
          </w:p>
        </w:tc>
        <w:tc>
          <w:tcPr>
            <w:tcW w:w="1590" w:type="dxa"/>
            <w:tcBorders>
              <w:top w:val="nil"/>
              <w:left w:val="nil"/>
              <w:bottom w:val="nil"/>
              <w:right w:val="nil"/>
            </w:tcBorders>
            <w:shd w:val="clear" w:color="000000" w:fill="F2F2F2"/>
            <w:vAlign w:val="center"/>
            <w:hideMark/>
          </w:tcPr>
          <w:p w14:paraId="218FDF1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18,344,005,824.7</w:t>
            </w:r>
          </w:p>
        </w:tc>
      </w:tr>
      <w:tr w:rsidR="00BD2E38" w:rsidRPr="0039371B" w14:paraId="62AF058B" w14:textId="77777777" w:rsidTr="00A461CA">
        <w:trPr>
          <w:trHeight w:val="189"/>
          <w:jc w:val="center"/>
        </w:trPr>
        <w:tc>
          <w:tcPr>
            <w:tcW w:w="3166" w:type="dxa"/>
            <w:tcBorders>
              <w:top w:val="nil"/>
              <w:left w:val="nil"/>
              <w:bottom w:val="nil"/>
              <w:right w:val="nil"/>
            </w:tcBorders>
            <w:shd w:val="clear" w:color="000000" w:fill="F2F2F2"/>
            <w:vAlign w:val="center"/>
            <w:hideMark/>
          </w:tcPr>
          <w:p w14:paraId="5BD60215"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RFA Riesgo de Trabajo</w:t>
            </w:r>
          </w:p>
        </w:tc>
        <w:tc>
          <w:tcPr>
            <w:tcW w:w="1590" w:type="dxa"/>
            <w:tcBorders>
              <w:top w:val="nil"/>
              <w:left w:val="nil"/>
              <w:bottom w:val="nil"/>
              <w:right w:val="nil"/>
            </w:tcBorders>
            <w:shd w:val="clear" w:color="000000" w:fill="F2F2F2"/>
            <w:vAlign w:val="center"/>
            <w:hideMark/>
          </w:tcPr>
          <w:p w14:paraId="3C1ACB3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12,003,715,056.4</w:t>
            </w:r>
          </w:p>
        </w:tc>
        <w:tc>
          <w:tcPr>
            <w:tcW w:w="1447" w:type="dxa"/>
            <w:tcBorders>
              <w:top w:val="nil"/>
              <w:left w:val="nil"/>
              <w:bottom w:val="nil"/>
              <w:right w:val="nil"/>
            </w:tcBorders>
            <w:shd w:val="clear" w:color="000000" w:fill="F2F2F2"/>
            <w:vAlign w:val="center"/>
            <w:hideMark/>
          </w:tcPr>
          <w:p w14:paraId="6AF3439D"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1,123,703,030.3</w:t>
            </w:r>
          </w:p>
        </w:tc>
        <w:tc>
          <w:tcPr>
            <w:tcW w:w="1012" w:type="dxa"/>
            <w:tcBorders>
              <w:top w:val="nil"/>
              <w:left w:val="nil"/>
              <w:bottom w:val="nil"/>
              <w:right w:val="nil"/>
            </w:tcBorders>
            <w:shd w:val="clear" w:color="000000" w:fill="F2F2F2"/>
            <w:vAlign w:val="center"/>
          </w:tcPr>
          <w:p w14:paraId="1175CC2F"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6F26DB26"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763,258,098.3</w:t>
            </w:r>
          </w:p>
        </w:tc>
        <w:tc>
          <w:tcPr>
            <w:tcW w:w="1591" w:type="dxa"/>
            <w:tcBorders>
              <w:top w:val="nil"/>
              <w:left w:val="nil"/>
              <w:bottom w:val="nil"/>
              <w:right w:val="nil"/>
            </w:tcBorders>
            <w:shd w:val="clear" w:color="000000" w:fill="F2F2F2"/>
            <w:vAlign w:val="center"/>
            <w:hideMark/>
          </w:tcPr>
          <w:p w14:paraId="40B223D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-2,138,475.0</w:t>
            </w:r>
          </w:p>
        </w:tc>
        <w:tc>
          <w:tcPr>
            <w:tcW w:w="1446" w:type="dxa"/>
            <w:tcBorders>
              <w:top w:val="nil"/>
              <w:left w:val="nil"/>
              <w:bottom w:val="nil"/>
              <w:right w:val="nil"/>
            </w:tcBorders>
            <w:shd w:val="clear" w:color="000000" w:fill="F2F2F2"/>
            <w:vAlign w:val="center"/>
            <w:hideMark/>
          </w:tcPr>
          <w:p w14:paraId="0D168DD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-9,032.1</w:t>
            </w:r>
          </w:p>
        </w:tc>
        <w:tc>
          <w:tcPr>
            <w:tcW w:w="1590" w:type="dxa"/>
            <w:tcBorders>
              <w:top w:val="nil"/>
              <w:left w:val="nil"/>
              <w:bottom w:val="nil"/>
              <w:right w:val="nil"/>
            </w:tcBorders>
            <w:shd w:val="clear" w:color="000000" w:fill="F2F2F2"/>
            <w:vAlign w:val="center"/>
            <w:hideMark/>
          </w:tcPr>
          <w:p w14:paraId="354CE9B8"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13,888,528,677.9</w:t>
            </w:r>
          </w:p>
        </w:tc>
      </w:tr>
      <w:tr w:rsidR="00BD2E38" w:rsidRPr="0039371B" w14:paraId="16DC3A44" w14:textId="77777777" w:rsidTr="00A461CA">
        <w:trPr>
          <w:trHeight w:val="253"/>
          <w:jc w:val="center"/>
        </w:trPr>
        <w:tc>
          <w:tcPr>
            <w:tcW w:w="3166" w:type="dxa"/>
            <w:tcBorders>
              <w:top w:val="nil"/>
              <w:left w:val="nil"/>
              <w:bottom w:val="nil"/>
              <w:right w:val="nil"/>
            </w:tcBorders>
            <w:shd w:val="clear" w:color="000000" w:fill="F2F2F2"/>
            <w:vAlign w:val="center"/>
            <w:hideMark/>
          </w:tcPr>
          <w:p w14:paraId="6F748D32"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 xml:space="preserve">RFA Gastos Médicos de Pensionados </w:t>
            </w:r>
          </w:p>
        </w:tc>
        <w:tc>
          <w:tcPr>
            <w:tcW w:w="1590" w:type="dxa"/>
            <w:tcBorders>
              <w:top w:val="nil"/>
              <w:left w:val="nil"/>
              <w:bottom w:val="nil"/>
              <w:right w:val="nil"/>
            </w:tcBorders>
            <w:shd w:val="clear" w:color="000000" w:fill="F2F2F2"/>
            <w:vAlign w:val="center"/>
            <w:hideMark/>
          </w:tcPr>
          <w:p w14:paraId="65599FFD"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23,745,895,974.4</w:t>
            </w:r>
          </w:p>
        </w:tc>
        <w:tc>
          <w:tcPr>
            <w:tcW w:w="1447" w:type="dxa"/>
            <w:tcBorders>
              <w:top w:val="nil"/>
              <w:left w:val="nil"/>
              <w:bottom w:val="nil"/>
              <w:right w:val="nil"/>
            </w:tcBorders>
            <w:shd w:val="clear" w:color="000000" w:fill="F2F2F2"/>
            <w:vAlign w:val="center"/>
            <w:hideMark/>
          </w:tcPr>
          <w:p w14:paraId="3A5B8B3F"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1,430,071,078.3</w:t>
            </w:r>
          </w:p>
        </w:tc>
        <w:tc>
          <w:tcPr>
            <w:tcW w:w="1012" w:type="dxa"/>
            <w:tcBorders>
              <w:top w:val="nil"/>
              <w:left w:val="nil"/>
              <w:bottom w:val="nil"/>
              <w:right w:val="nil"/>
            </w:tcBorders>
            <w:shd w:val="clear" w:color="000000" w:fill="F2F2F2"/>
            <w:vAlign w:val="center"/>
          </w:tcPr>
          <w:p w14:paraId="64F9BDA9"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5BEDEB10"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hideMark/>
          </w:tcPr>
          <w:p w14:paraId="515FA98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-10,017,091.5</w:t>
            </w:r>
          </w:p>
        </w:tc>
        <w:tc>
          <w:tcPr>
            <w:tcW w:w="1446" w:type="dxa"/>
            <w:tcBorders>
              <w:top w:val="nil"/>
              <w:left w:val="nil"/>
              <w:bottom w:val="nil"/>
              <w:right w:val="nil"/>
            </w:tcBorders>
            <w:shd w:val="clear" w:color="000000" w:fill="F2F2F2"/>
            <w:vAlign w:val="center"/>
            <w:hideMark/>
          </w:tcPr>
          <w:p w14:paraId="5DF70B96"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11,611,720,869.2</w:t>
            </w:r>
          </w:p>
        </w:tc>
        <w:tc>
          <w:tcPr>
            <w:tcW w:w="1590" w:type="dxa"/>
            <w:tcBorders>
              <w:top w:val="nil"/>
              <w:left w:val="nil"/>
              <w:bottom w:val="nil"/>
              <w:right w:val="nil"/>
            </w:tcBorders>
            <w:shd w:val="clear" w:color="000000" w:fill="F2F2F2"/>
            <w:vAlign w:val="center"/>
            <w:hideMark/>
          </w:tcPr>
          <w:p w14:paraId="6984632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36,777,670,830.4</w:t>
            </w:r>
          </w:p>
        </w:tc>
      </w:tr>
      <w:tr w:rsidR="00BD2E38" w:rsidRPr="0039371B" w14:paraId="3A16CDC2" w14:textId="77777777" w:rsidTr="00A461CA">
        <w:trPr>
          <w:trHeight w:val="315"/>
          <w:jc w:val="center"/>
        </w:trPr>
        <w:tc>
          <w:tcPr>
            <w:tcW w:w="3166" w:type="dxa"/>
            <w:tcBorders>
              <w:top w:val="nil"/>
              <w:left w:val="nil"/>
              <w:bottom w:val="nil"/>
              <w:right w:val="nil"/>
            </w:tcBorders>
            <w:shd w:val="clear" w:color="000000" w:fill="F2F2F2"/>
            <w:vAlign w:val="center"/>
            <w:hideMark/>
          </w:tcPr>
          <w:p w14:paraId="19B4028B"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 xml:space="preserve">RFA Seguro de Enfermedad y Maternidad </w:t>
            </w:r>
          </w:p>
        </w:tc>
        <w:tc>
          <w:tcPr>
            <w:tcW w:w="1590" w:type="dxa"/>
            <w:tcBorders>
              <w:top w:val="nil"/>
              <w:left w:val="nil"/>
              <w:bottom w:val="nil"/>
              <w:right w:val="nil"/>
            </w:tcBorders>
            <w:shd w:val="clear" w:color="000000" w:fill="F2F2F2"/>
            <w:vAlign w:val="center"/>
            <w:hideMark/>
          </w:tcPr>
          <w:p w14:paraId="29D25F0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61,892,900,401.0</w:t>
            </w:r>
          </w:p>
        </w:tc>
        <w:tc>
          <w:tcPr>
            <w:tcW w:w="1447" w:type="dxa"/>
            <w:tcBorders>
              <w:top w:val="nil"/>
              <w:left w:val="nil"/>
              <w:bottom w:val="nil"/>
              <w:right w:val="nil"/>
            </w:tcBorders>
            <w:shd w:val="clear" w:color="000000" w:fill="F2F2F2"/>
            <w:vAlign w:val="center"/>
            <w:hideMark/>
          </w:tcPr>
          <w:p w14:paraId="06950CF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4,227,079,660.5</w:t>
            </w:r>
          </w:p>
        </w:tc>
        <w:tc>
          <w:tcPr>
            <w:tcW w:w="1012" w:type="dxa"/>
            <w:tcBorders>
              <w:top w:val="nil"/>
              <w:left w:val="nil"/>
              <w:bottom w:val="nil"/>
              <w:right w:val="nil"/>
            </w:tcBorders>
            <w:shd w:val="clear" w:color="000000" w:fill="F2F2F2"/>
            <w:vAlign w:val="center"/>
          </w:tcPr>
          <w:p w14:paraId="1F1EABF5"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76B79C22"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hideMark/>
          </w:tcPr>
          <w:p w14:paraId="7CEDC526"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-1,747,356,230.9</w:t>
            </w:r>
          </w:p>
        </w:tc>
        <w:tc>
          <w:tcPr>
            <w:tcW w:w="1446" w:type="dxa"/>
            <w:tcBorders>
              <w:top w:val="nil"/>
              <w:left w:val="nil"/>
              <w:bottom w:val="nil"/>
              <w:right w:val="nil"/>
            </w:tcBorders>
            <w:shd w:val="clear" w:color="000000" w:fill="F2F2F2"/>
            <w:vAlign w:val="center"/>
            <w:hideMark/>
          </w:tcPr>
          <w:p w14:paraId="48B14C4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21,869.7</w:t>
            </w:r>
          </w:p>
        </w:tc>
        <w:tc>
          <w:tcPr>
            <w:tcW w:w="1590" w:type="dxa"/>
            <w:tcBorders>
              <w:top w:val="nil"/>
              <w:left w:val="nil"/>
              <w:bottom w:val="nil"/>
              <w:right w:val="nil"/>
            </w:tcBorders>
            <w:shd w:val="clear" w:color="000000" w:fill="F2F2F2"/>
            <w:vAlign w:val="center"/>
            <w:hideMark/>
          </w:tcPr>
          <w:p w14:paraId="54C8E570"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64,372,645,700.3</w:t>
            </w:r>
          </w:p>
        </w:tc>
      </w:tr>
      <w:tr w:rsidR="00BD2E38" w:rsidRPr="0039371B" w14:paraId="3A4BF28C" w14:textId="77777777" w:rsidTr="00A461CA">
        <w:trPr>
          <w:trHeight w:val="868"/>
          <w:jc w:val="center"/>
        </w:trPr>
        <w:tc>
          <w:tcPr>
            <w:tcW w:w="3166" w:type="dxa"/>
            <w:tcBorders>
              <w:top w:val="nil"/>
              <w:left w:val="nil"/>
              <w:bottom w:val="nil"/>
              <w:right w:val="nil"/>
            </w:tcBorders>
            <w:shd w:val="clear" w:color="000000" w:fill="F2F2F2"/>
            <w:vAlign w:val="center"/>
            <w:hideMark/>
          </w:tcPr>
          <w:p w14:paraId="17E05DAD"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Reserva General Financiera y Actuarial (RGFA)</w:t>
            </w:r>
          </w:p>
        </w:tc>
        <w:tc>
          <w:tcPr>
            <w:tcW w:w="1590" w:type="dxa"/>
            <w:tcBorders>
              <w:top w:val="nil"/>
              <w:left w:val="nil"/>
              <w:bottom w:val="nil"/>
              <w:right w:val="nil"/>
            </w:tcBorders>
            <w:shd w:val="clear" w:color="000000" w:fill="F2F2F2"/>
            <w:vAlign w:val="center"/>
            <w:hideMark/>
          </w:tcPr>
          <w:p w14:paraId="1576734B"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6,550,500,695.4</w:t>
            </w:r>
          </w:p>
        </w:tc>
        <w:tc>
          <w:tcPr>
            <w:tcW w:w="1447" w:type="dxa"/>
            <w:tcBorders>
              <w:top w:val="nil"/>
              <w:left w:val="nil"/>
              <w:bottom w:val="nil"/>
              <w:right w:val="nil"/>
            </w:tcBorders>
            <w:shd w:val="clear" w:color="000000" w:fill="F2F2F2"/>
            <w:vAlign w:val="center"/>
            <w:hideMark/>
          </w:tcPr>
          <w:p w14:paraId="7C31B59F"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316,275,272.9</w:t>
            </w:r>
          </w:p>
        </w:tc>
        <w:tc>
          <w:tcPr>
            <w:tcW w:w="1012" w:type="dxa"/>
            <w:tcBorders>
              <w:top w:val="nil"/>
              <w:left w:val="nil"/>
              <w:bottom w:val="nil"/>
              <w:right w:val="nil"/>
            </w:tcBorders>
            <w:shd w:val="clear" w:color="000000" w:fill="F2F2F2"/>
            <w:vAlign w:val="center"/>
          </w:tcPr>
          <w:p w14:paraId="1A118981"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2DD4CD57"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tcPr>
          <w:p w14:paraId="57D65447" w14:textId="77777777" w:rsidR="004D7939" w:rsidRDefault="004D7939" w:rsidP="002C1B01">
            <w:pPr>
              <w:spacing w:after="0" w:line="240" w:lineRule="exact"/>
              <w:jc w:val="right"/>
              <w:rPr>
                <w:rFonts w:ascii="Montserrat" w:eastAsia="Times New Roman" w:hAnsi="Montserrat"/>
                <w:color w:val="000000"/>
                <w:sz w:val="15"/>
                <w:szCs w:val="15"/>
                <w:lang w:val="es-MX" w:eastAsia="es-MX"/>
              </w:rPr>
            </w:pPr>
          </w:p>
          <w:p w14:paraId="546C012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4E76364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1,141,367,258.1</w:t>
            </w:r>
          </w:p>
        </w:tc>
        <w:tc>
          <w:tcPr>
            <w:tcW w:w="1590" w:type="dxa"/>
            <w:tcBorders>
              <w:top w:val="nil"/>
              <w:left w:val="nil"/>
              <w:bottom w:val="nil"/>
              <w:right w:val="nil"/>
            </w:tcBorders>
            <w:shd w:val="clear" w:color="000000" w:fill="F2F2F2"/>
            <w:vAlign w:val="center"/>
            <w:hideMark/>
          </w:tcPr>
          <w:p w14:paraId="280DF3B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8,008,143,226.4</w:t>
            </w:r>
          </w:p>
        </w:tc>
      </w:tr>
      <w:tr w:rsidR="00BD2E38" w:rsidRPr="0039371B" w14:paraId="0FE51BFF" w14:textId="77777777" w:rsidTr="00A461CA">
        <w:trPr>
          <w:trHeight w:val="353"/>
          <w:jc w:val="center"/>
        </w:trPr>
        <w:tc>
          <w:tcPr>
            <w:tcW w:w="3166" w:type="dxa"/>
            <w:tcBorders>
              <w:top w:val="nil"/>
              <w:left w:val="nil"/>
              <w:bottom w:val="nil"/>
              <w:right w:val="nil"/>
            </w:tcBorders>
            <w:shd w:val="clear" w:color="000000" w:fill="F2F2F2"/>
            <w:vAlign w:val="center"/>
            <w:hideMark/>
          </w:tcPr>
          <w:p w14:paraId="0EA4C5BF"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Reserva para Contingencia y Financiamiento (ROCF)</w:t>
            </w:r>
          </w:p>
        </w:tc>
        <w:tc>
          <w:tcPr>
            <w:tcW w:w="1590" w:type="dxa"/>
            <w:tcBorders>
              <w:top w:val="nil"/>
              <w:left w:val="nil"/>
              <w:bottom w:val="nil"/>
              <w:right w:val="nil"/>
            </w:tcBorders>
            <w:shd w:val="clear" w:color="000000" w:fill="F2F2F2"/>
            <w:vAlign w:val="center"/>
            <w:hideMark/>
          </w:tcPr>
          <w:p w14:paraId="6242DE8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82,339,034,966.3</w:t>
            </w:r>
          </w:p>
        </w:tc>
        <w:tc>
          <w:tcPr>
            <w:tcW w:w="1447" w:type="dxa"/>
            <w:tcBorders>
              <w:top w:val="nil"/>
              <w:left w:val="nil"/>
              <w:bottom w:val="nil"/>
              <w:right w:val="nil"/>
            </w:tcBorders>
            <w:shd w:val="clear" w:color="000000" w:fill="F2F2F2"/>
            <w:vAlign w:val="center"/>
            <w:hideMark/>
          </w:tcPr>
          <w:p w14:paraId="3A60502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3,739,047,179.9</w:t>
            </w:r>
          </w:p>
        </w:tc>
        <w:tc>
          <w:tcPr>
            <w:tcW w:w="1012" w:type="dxa"/>
            <w:tcBorders>
              <w:top w:val="nil"/>
              <w:left w:val="nil"/>
              <w:bottom w:val="nil"/>
              <w:right w:val="nil"/>
            </w:tcBorders>
            <w:shd w:val="clear" w:color="000000" w:fill="F2F2F2"/>
            <w:vAlign w:val="center"/>
          </w:tcPr>
          <w:p w14:paraId="1BEF4029"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447D1885"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tcPr>
          <w:p w14:paraId="0E2285E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5D78A63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-22,577,231,298.5</w:t>
            </w:r>
          </w:p>
        </w:tc>
        <w:tc>
          <w:tcPr>
            <w:tcW w:w="1590" w:type="dxa"/>
            <w:tcBorders>
              <w:top w:val="nil"/>
              <w:left w:val="nil"/>
              <w:bottom w:val="nil"/>
              <w:right w:val="nil"/>
            </w:tcBorders>
            <w:shd w:val="clear" w:color="000000" w:fill="F2F2F2"/>
            <w:vAlign w:val="center"/>
            <w:hideMark/>
          </w:tcPr>
          <w:p w14:paraId="788E8DD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63,500,850,847.7</w:t>
            </w:r>
          </w:p>
        </w:tc>
      </w:tr>
      <w:tr w:rsidR="00BD2E38" w:rsidRPr="0039371B" w14:paraId="4011A7C5" w14:textId="77777777" w:rsidTr="00A461CA">
        <w:trPr>
          <w:trHeight w:val="109"/>
          <w:jc w:val="center"/>
        </w:trPr>
        <w:tc>
          <w:tcPr>
            <w:tcW w:w="3166" w:type="dxa"/>
            <w:tcBorders>
              <w:top w:val="nil"/>
              <w:left w:val="nil"/>
              <w:bottom w:val="nil"/>
              <w:right w:val="nil"/>
            </w:tcBorders>
            <w:shd w:val="clear" w:color="000000" w:fill="F2F2F2"/>
            <w:vAlign w:val="center"/>
            <w:hideMark/>
          </w:tcPr>
          <w:p w14:paraId="636FCED7"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Reservas Operativas (RO)</w:t>
            </w:r>
          </w:p>
        </w:tc>
        <w:tc>
          <w:tcPr>
            <w:tcW w:w="1590" w:type="dxa"/>
            <w:tcBorders>
              <w:top w:val="nil"/>
              <w:left w:val="nil"/>
              <w:bottom w:val="nil"/>
              <w:right w:val="nil"/>
            </w:tcBorders>
            <w:shd w:val="clear" w:color="000000" w:fill="F2F2F2"/>
            <w:vAlign w:val="center"/>
            <w:hideMark/>
          </w:tcPr>
          <w:p w14:paraId="535EF9B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2,748,073,351.5</w:t>
            </w:r>
          </w:p>
        </w:tc>
        <w:tc>
          <w:tcPr>
            <w:tcW w:w="1447" w:type="dxa"/>
            <w:tcBorders>
              <w:top w:val="nil"/>
              <w:left w:val="nil"/>
              <w:bottom w:val="nil"/>
              <w:right w:val="nil"/>
            </w:tcBorders>
            <w:shd w:val="clear" w:color="000000" w:fill="F2F2F2"/>
            <w:vAlign w:val="center"/>
            <w:hideMark/>
          </w:tcPr>
          <w:p w14:paraId="7D9E41EF"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774,719,397.0</w:t>
            </w:r>
          </w:p>
        </w:tc>
        <w:tc>
          <w:tcPr>
            <w:tcW w:w="1012" w:type="dxa"/>
            <w:tcBorders>
              <w:top w:val="nil"/>
              <w:left w:val="nil"/>
              <w:bottom w:val="nil"/>
              <w:right w:val="nil"/>
            </w:tcBorders>
            <w:shd w:val="clear" w:color="000000" w:fill="F2F2F2"/>
            <w:vAlign w:val="center"/>
          </w:tcPr>
          <w:p w14:paraId="3B545BF8"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2E591389"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tcPr>
          <w:p w14:paraId="2A4F2B77"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3A432CA7"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1,255,947,972.2</w:t>
            </w:r>
          </w:p>
        </w:tc>
        <w:tc>
          <w:tcPr>
            <w:tcW w:w="1590" w:type="dxa"/>
            <w:tcBorders>
              <w:top w:val="nil"/>
              <w:left w:val="nil"/>
              <w:bottom w:val="nil"/>
              <w:right w:val="nil"/>
            </w:tcBorders>
            <w:shd w:val="clear" w:color="000000" w:fill="F2F2F2"/>
            <w:vAlign w:val="center"/>
            <w:hideMark/>
          </w:tcPr>
          <w:p w14:paraId="3E14D3E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4,778,740,720.7</w:t>
            </w:r>
          </w:p>
        </w:tc>
      </w:tr>
      <w:tr w:rsidR="00BD2E38" w:rsidRPr="0039371B" w14:paraId="2C52547E" w14:textId="77777777" w:rsidTr="00A461CA">
        <w:trPr>
          <w:trHeight w:val="347"/>
          <w:jc w:val="center"/>
        </w:trPr>
        <w:tc>
          <w:tcPr>
            <w:tcW w:w="3166" w:type="dxa"/>
            <w:tcBorders>
              <w:top w:val="nil"/>
              <w:left w:val="nil"/>
              <w:bottom w:val="nil"/>
              <w:right w:val="nil"/>
            </w:tcBorders>
            <w:shd w:val="clear" w:color="000000" w:fill="F2F2F2"/>
            <w:vAlign w:val="center"/>
            <w:hideMark/>
          </w:tcPr>
          <w:p w14:paraId="005E1786"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Reserva para hacer frente a reclamaciones del SAR</w:t>
            </w:r>
          </w:p>
        </w:tc>
        <w:tc>
          <w:tcPr>
            <w:tcW w:w="1590" w:type="dxa"/>
            <w:tcBorders>
              <w:top w:val="nil"/>
              <w:left w:val="nil"/>
              <w:bottom w:val="nil"/>
              <w:right w:val="nil"/>
            </w:tcBorders>
            <w:shd w:val="clear" w:color="000000" w:fill="F2F2F2"/>
            <w:vAlign w:val="center"/>
            <w:hideMark/>
          </w:tcPr>
          <w:p w14:paraId="34B912D2"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1,740,195.1</w:t>
            </w:r>
          </w:p>
        </w:tc>
        <w:tc>
          <w:tcPr>
            <w:tcW w:w="1447" w:type="dxa"/>
            <w:tcBorders>
              <w:top w:val="nil"/>
              <w:left w:val="nil"/>
              <w:bottom w:val="nil"/>
              <w:right w:val="nil"/>
            </w:tcBorders>
            <w:shd w:val="clear" w:color="000000" w:fill="F2F2F2"/>
            <w:vAlign w:val="center"/>
            <w:hideMark/>
          </w:tcPr>
          <w:p w14:paraId="3B13E366"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-13,812,688.6</w:t>
            </w:r>
          </w:p>
        </w:tc>
        <w:tc>
          <w:tcPr>
            <w:tcW w:w="1012" w:type="dxa"/>
            <w:tcBorders>
              <w:top w:val="nil"/>
              <w:left w:val="nil"/>
              <w:bottom w:val="nil"/>
              <w:right w:val="nil"/>
            </w:tcBorders>
            <w:shd w:val="clear" w:color="000000" w:fill="F2F2F2"/>
            <w:vAlign w:val="center"/>
          </w:tcPr>
          <w:p w14:paraId="05079181"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0E65C65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tcPr>
          <w:p w14:paraId="71771EEB"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hideMark/>
          </w:tcPr>
          <w:p w14:paraId="01EA0E5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20,872,320.0</w:t>
            </w:r>
          </w:p>
        </w:tc>
        <w:tc>
          <w:tcPr>
            <w:tcW w:w="1590" w:type="dxa"/>
            <w:tcBorders>
              <w:top w:val="nil"/>
              <w:left w:val="nil"/>
              <w:bottom w:val="nil"/>
              <w:right w:val="nil"/>
            </w:tcBorders>
            <w:shd w:val="clear" w:color="000000" w:fill="F2F2F2"/>
            <w:vAlign w:val="center"/>
            <w:hideMark/>
          </w:tcPr>
          <w:p w14:paraId="0B35DC55"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8,799,826.5</w:t>
            </w:r>
          </w:p>
        </w:tc>
      </w:tr>
      <w:tr w:rsidR="00BD2E38" w:rsidRPr="0039371B" w14:paraId="4E75E418" w14:textId="77777777" w:rsidTr="00A461CA">
        <w:trPr>
          <w:trHeight w:val="422"/>
          <w:jc w:val="center"/>
        </w:trPr>
        <w:tc>
          <w:tcPr>
            <w:tcW w:w="3166" w:type="dxa"/>
            <w:tcBorders>
              <w:top w:val="nil"/>
              <w:left w:val="nil"/>
              <w:bottom w:val="nil"/>
              <w:right w:val="nil"/>
            </w:tcBorders>
            <w:shd w:val="clear" w:color="000000" w:fill="F2F2F2"/>
            <w:vAlign w:val="center"/>
            <w:hideMark/>
          </w:tcPr>
          <w:p w14:paraId="6D80254D"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Subcuenta 2 (RJPS2)</w:t>
            </w:r>
          </w:p>
        </w:tc>
        <w:tc>
          <w:tcPr>
            <w:tcW w:w="1590" w:type="dxa"/>
            <w:tcBorders>
              <w:top w:val="nil"/>
              <w:left w:val="nil"/>
              <w:bottom w:val="nil"/>
              <w:right w:val="nil"/>
            </w:tcBorders>
            <w:shd w:val="clear" w:color="000000" w:fill="F2F2F2"/>
            <w:vAlign w:val="center"/>
            <w:hideMark/>
          </w:tcPr>
          <w:p w14:paraId="6823ED20"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94,449,335,589.4</w:t>
            </w:r>
          </w:p>
        </w:tc>
        <w:tc>
          <w:tcPr>
            <w:tcW w:w="1447" w:type="dxa"/>
            <w:tcBorders>
              <w:top w:val="nil"/>
              <w:left w:val="nil"/>
              <w:bottom w:val="nil"/>
              <w:right w:val="nil"/>
            </w:tcBorders>
            <w:shd w:val="clear" w:color="000000" w:fill="F2F2F2"/>
            <w:vAlign w:val="center"/>
            <w:hideMark/>
          </w:tcPr>
          <w:p w14:paraId="454CC74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8,329,003,540.0</w:t>
            </w:r>
          </w:p>
        </w:tc>
        <w:tc>
          <w:tcPr>
            <w:tcW w:w="1012" w:type="dxa"/>
            <w:tcBorders>
              <w:top w:val="nil"/>
              <w:left w:val="nil"/>
              <w:bottom w:val="nil"/>
              <w:right w:val="nil"/>
            </w:tcBorders>
            <w:shd w:val="clear" w:color="000000" w:fill="F2F2F2"/>
            <w:vAlign w:val="center"/>
          </w:tcPr>
          <w:p w14:paraId="2D86DDA5"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29F1C268"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hideMark/>
          </w:tcPr>
          <w:p w14:paraId="3ABBE3DA"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4,208,043,244.0</w:t>
            </w:r>
          </w:p>
        </w:tc>
        <w:tc>
          <w:tcPr>
            <w:tcW w:w="1446" w:type="dxa"/>
            <w:tcBorders>
              <w:top w:val="nil"/>
              <w:left w:val="nil"/>
              <w:bottom w:val="nil"/>
              <w:right w:val="nil"/>
            </w:tcBorders>
            <w:shd w:val="clear" w:color="000000" w:fill="F2F2F2"/>
            <w:vAlign w:val="center"/>
            <w:hideMark/>
          </w:tcPr>
          <w:p w14:paraId="5520F464"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4,559,533,056.1</w:t>
            </w:r>
          </w:p>
        </w:tc>
        <w:tc>
          <w:tcPr>
            <w:tcW w:w="1590" w:type="dxa"/>
            <w:tcBorders>
              <w:top w:val="nil"/>
              <w:left w:val="nil"/>
              <w:bottom w:val="nil"/>
              <w:right w:val="nil"/>
            </w:tcBorders>
            <w:shd w:val="clear" w:color="000000" w:fill="F2F2F2"/>
            <w:vAlign w:val="center"/>
            <w:hideMark/>
          </w:tcPr>
          <w:p w14:paraId="6C4C8421"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111,545,915,429.5</w:t>
            </w:r>
          </w:p>
        </w:tc>
      </w:tr>
      <w:tr w:rsidR="00BD2E38" w:rsidRPr="0039371B" w14:paraId="1C8A5B17" w14:textId="77777777" w:rsidTr="00A461CA">
        <w:trPr>
          <w:trHeight w:val="422"/>
          <w:jc w:val="center"/>
        </w:trPr>
        <w:tc>
          <w:tcPr>
            <w:tcW w:w="3166" w:type="dxa"/>
            <w:tcBorders>
              <w:top w:val="nil"/>
              <w:left w:val="nil"/>
              <w:bottom w:val="nil"/>
              <w:right w:val="nil"/>
            </w:tcBorders>
            <w:shd w:val="clear" w:color="000000" w:fill="F2F2F2"/>
            <w:vAlign w:val="center"/>
            <w:hideMark/>
          </w:tcPr>
          <w:p w14:paraId="1BBC3B2C" w14:textId="77777777" w:rsidR="00926425" w:rsidRPr="00C97063" w:rsidRDefault="00926425" w:rsidP="006B29AE">
            <w:pPr>
              <w:spacing w:after="0" w:line="240" w:lineRule="exac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Subcuenta 1 (RJPS1)</w:t>
            </w:r>
          </w:p>
        </w:tc>
        <w:tc>
          <w:tcPr>
            <w:tcW w:w="1590" w:type="dxa"/>
            <w:tcBorders>
              <w:top w:val="nil"/>
              <w:left w:val="nil"/>
              <w:bottom w:val="nil"/>
              <w:right w:val="nil"/>
            </w:tcBorders>
            <w:shd w:val="clear" w:color="000000" w:fill="F2F2F2"/>
            <w:vAlign w:val="center"/>
            <w:hideMark/>
          </w:tcPr>
          <w:p w14:paraId="1F36C148"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3,339,515,295.9</w:t>
            </w:r>
          </w:p>
        </w:tc>
        <w:tc>
          <w:tcPr>
            <w:tcW w:w="1447" w:type="dxa"/>
            <w:tcBorders>
              <w:top w:val="nil"/>
              <w:left w:val="nil"/>
              <w:bottom w:val="nil"/>
              <w:right w:val="nil"/>
            </w:tcBorders>
            <w:shd w:val="clear" w:color="000000" w:fill="F2F2F2"/>
            <w:vAlign w:val="center"/>
            <w:hideMark/>
          </w:tcPr>
          <w:p w14:paraId="12A1A6C6"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178,188,286.3</w:t>
            </w:r>
          </w:p>
        </w:tc>
        <w:tc>
          <w:tcPr>
            <w:tcW w:w="1012" w:type="dxa"/>
            <w:tcBorders>
              <w:top w:val="nil"/>
              <w:left w:val="nil"/>
              <w:bottom w:val="nil"/>
              <w:right w:val="nil"/>
            </w:tcBorders>
            <w:shd w:val="clear" w:color="000000" w:fill="F2F2F2"/>
            <w:vAlign w:val="center"/>
          </w:tcPr>
          <w:p w14:paraId="5E87B592"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BD2E38" w:rsidRPr="00C97063">
              <w:rPr>
                <w:rFonts w:ascii="Montserrat" w:eastAsia="Times New Roman" w:hAnsi="Montserrat"/>
                <w:color w:val="000000"/>
                <w:sz w:val="15"/>
                <w:szCs w:val="15"/>
                <w:lang w:val="es-MX" w:eastAsia="es-MX"/>
              </w:rPr>
              <w:t>.0</w:t>
            </w:r>
          </w:p>
        </w:tc>
        <w:tc>
          <w:tcPr>
            <w:tcW w:w="1446" w:type="dxa"/>
            <w:tcBorders>
              <w:top w:val="nil"/>
              <w:left w:val="nil"/>
              <w:bottom w:val="nil"/>
              <w:right w:val="nil"/>
            </w:tcBorders>
            <w:shd w:val="clear" w:color="000000" w:fill="F2F2F2"/>
            <w:vAlign w:val="center"/>
          </w:tcPr>
          <w:p w14:paraId="174D925C"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val="es-MX" w:eastAsia="es-MX"/>
              </w:rPr>
              <w:t>0</w:t>
            </w:r>
            <w:r w:rsidR="002C1B01" w:rsidRPr="00C97063">
              <w:rPr>
                <w:rFonts w:ascii="Montserrat" w:eastAsia="Times New Roman" w:hAnsi="Montserrat"/>
                <w:color w:val="000000"/>
                <w:sz w:val="15"/>
                <w:szCs w:val="15"/>
                <w:lang w:val="es-MX" w:eastAsia="es-MX"/>
              </w:rPr>
              <w:t>.0</w:t>
            </w:r>
          </w:p>
        </w:tc>
        <w:tc>
          <w:tcPr>
            <w:tcW w:w="1591" w:type="dxa"/>
            <w:tcBorders>
              <w:top w:val="nil"/>
              <w:left w:val="nil"/>
              <w:bottom w:val="nil"/>
              <w:right w:val="nil"/>
            </w:tcBorders>
            <w:shd w:val="clear" w:color="000000" w:fill="F2F2F2"/>
            <w:vAlign w:val="center"/>
            <w:hideMark/>
          </w:tcPr>
          <w:p w14:paraId="15F4919E"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-256,698.9</w:t>
            </w:r>
          </w:p>
        </w:tc>
        <w:tc>
          <w:tcPr>
            <w:tcW w:w="1446" w:type="dxa"/>
            <w:tcBorders>
              <w:top w:val="nil"/>
              <w:left w:val="nil"/>
              <w:bottom w:val="nil"/>
              <w:right w:val="nil"/>
            </w:tcBorders>
            <w:shd w:val="clear" w:color="000000" w:fill="F2F2F2"/>
            <w:vAlign w:val="center"/>
            <w:hideMark/>
          </w:tcPr>
          <w:p w14:paraId="628304BB"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1,396,183,990.0</w:t>
            </w:r>
          </w:p>
        </w:tc>
        <w:tc>
          <w:tcPr>
            <w:tcW w:w="1590" w:type="dxa"/>
            <w:tcBorders>
              <w:top w:val="nil"/>
              <w:left w:val="nil"/>
              <w:bottom w:val="nil"/>
              <w:right w:val="nil"/>
            </w:tcBorders>
            <w:shd w:val="clear" w:color="000000" w:fill="F2F2F2"/>
            <w:vAlign w:val="center"/>
            <w:hideMark/>
          </w:tcPr>
          <w:p w14:paraId="57596BD3" w14:textId="77777777" w:rsidR="00926425" w:rsidRPr="00C97063" w:rsidRDefault="00926425" w:rsidP="002C1B01">
            <w:pPr>
              <w:spacing w:after="0" w:line="240" w:lineRule="exact"/>
              <w:jc w:val="right"/>
              <w:rPr>
                <w:rFonts w:ascii="Montserrat" w:eastAsia="Times New Roman" w:hAnsi="Montserrat"/>
                <w:color w:val="000000"/>
                <w:sz w:val="15"/>
                <w:szCs w:val="15"/>
                <w:lang w:val="es-MX" w:eastAsia="es-MX"/>
              </w:rPr>
            </w:pPr>
            <w:r w:rsidRPr="00C97063">
              <w:rPr>
                <w:rFonts w:ascii="Montserrat" w:eastAsia="Times New Roman" w:hAnsi="Montserrat"/>
                <w:color w:val="000000"/>
                <w:sz w:val="15"/>
                <w:szCs w:val="15"/>
                <w:lang w:eastAsia="es-MX"/>
              </w:rPr>
              <w:t>4,913,630,873.3</w:t>
            </w:r>
          </w:p>
        </w:tc>
      </w:tr>
      <w:tr w:rsidR="00BD2E38" w:rsidRPr="00E47E66" w14:paraId="3C60704C" w14:textId="77777777" w:rsidTr="00A461CA">
        <w:trPr>
          <w:trHeight w:val="142"/>
          <w:jc w:val="center"/>
        </w:trPr>
        <w:tc>
          <w:tcPr>
            <w:tcW w:w="3166" w:type="dxa"/>
            <w:tcBorders>
              <w:top w:val="nil"/>
              <w:left w:val="nil"/>
              <w:bottom w:val="single" w:sz="12" w:space="0" w:color="808080"/>
              <w:right w:val="nil"/>
            </w:tcBorders>
            <w:shd w:val="clear" w:color="000000" w:fill="F2F2F2"/>
            <w:vAlign w:val="center"/>
            <w:hideMark/>
          </w:tcPr>
          <w:p w14:paraId="02D5483E" w14:textId="77777777" w:rsidR="00926425" w:rsidRPr="00C97063" w:rsidRDefault="00926425" w:rsidP="006B29AE">
            <w:pPr>
              <w:spacing w:after="0" w:line="240" w:lineRule="exac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Total</w:t>
            </w:r>
          </w:p>
        </w:tc>
        <w:tc>
          <w:tcPr>
            <w:tcW w:w="1590" w:type="dxa"/>
            <w:tcBorders>
              <w:top w:val="nil"/>
              <w:left w:val="nil"/>
              <w:bottom w:val="single" w:sz="12" w:space="0" w:color="808080"/>
              <w:right w:val="nil"/>
            </w:tcBorders>
            <w:shd w:val="clear" w:color="000000" w:fill="F2F2F2"/>
            <w:vAlign w:val="center"/>
            <w:hideMark/>
          </w:tcPr>
          <w:p w14:paraId="4B411F8E"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302,985,272,872.0</w:t>
            </w:r>
          </w:p>
        </w:tc>
        <w:tc>
          <w:tcPr>
            <w:tcW w:w="1447" w:type="dxa"/>
            <w:tcBorders>
              <w:top w:val="nil"/>
              <w:left w:val="nil"/>
              <w:bottom w:val="single" w:sz="12" w:space="0" w:color="808080"/>
              <w:right w:val="nil"/>
            </w:tcBorders>
            <w:shd w:val="clear" w:color="000000" w:fill="F2F2F2"/>
            <w:vAlign w:val="center"/>
            <w:hideMark/>
          </w:tcPr>
          <w:p w14:paraId="1C646ACC"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21,577,013,362.2</w:t>
            </w:r>
          </w:p>
        </w:tc>
        <w:tc>
          <w:tcPr>
            <w:tcW w:w="1012" w:type="dxa"/>
            <w:tcBorders>
              <w:top w:val="nil"/>
              <w:left w:val="nil"/>
              <w:bottom w:val="single" w:sz="12" w:space="0" w:color="808080"/>
              <w:right w:val="nil"/>
            </w:tcBorders>
            <w:shd w:val="clear" w:color="000000" w:fill="F2F2F2"/>
            <w:vAlign w:val="center"/>
          </w:tcPr>
          <w:p w14:paraId="5361E747"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val="es-MX" w:eastAsia="es-MX"/>
              </w:rPr>
              <w:t>0</w:t>
            </w:r>
            <w:r w:rsidR="00BD2E38" w:rsidRPr="00C97063">
              <w:rPr>
                <w:rFonts w:ascii="Montserrat" w:eastAsia="Times New Roman" w:hAnsi="Montserrat"/>
                <w:b/>
                <w:bCs/>
                <w:color w:val="000000"/>
                <w:sz w:val="15"/>
                <w:szCs w:val="15"/>
                <w:lang w:val="es-MX" w:eastAsia="es-MX"/>
              </w:rPr>
              <w:t>.0</w:t>
            </w:r>
          </w:p>
        </w:tc>
        <w:tc>
          <w:tcPr>
            <w:tcW w:w="1446" w:type="dxa"/>
            <w:tcBorders>
              <w:top w:val="nil"/>
              <w:left w:val="nil"/>
              <w:bottom w:val="single" w:sz="12" w:space="0" w:color="808080"/>
              <w:right w:val="nil"/>
            </w:tcBorders>
            <w:shd w:val="clear" w:color="000000" w:fill="F2F2F2"/>
            <w:vAlign w:val="center"/>
            <w:hideMark/>
          </w:tcPr>
          <w:p w14:paraId="6DF28075"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1,722,795,279.0</w:t>
            </w:r>
          </w:p>
        </w:tc>
        <w:tc>
          <w:tcPr>
            <w:tcW w:w="1591" w:type="dxa"/>
            <w:tcBorders>
              <w:top w:val="nil"/>
              <w:left w:val="nil"/>
              <w:bottom w:val="single" w:sz="12" w:space="0" w:color="808080"/>
              <w:right w:val="nil"/>
            </w:tcBorders>
            <w:shd w:val="clear" w:color="000000" w:fill="F2F2F2"/>
            <w:vAlign w:val="center"/>
            <w:hideMark/>
          </w:tcPr>
          <w:p w14:paraId="0B36F767"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2,445,454,506.2</w:t>
            </w:r>
          </w:p>
        </w:tc>
        <w:tc>
          <w:tcPr>
            <w:tcW w:w="1446" w:type="dxa"/>
            <w:tcBorders>
              <w:top w:val="nil"/>
              <w:left w:val="nil"/>
              <w:bottom w:val="single" w:sz="12" w:space="0" w:color="808080"/>
              <w:right w:val="nil"/>
            </w:tcBorders>
            <w:shd w:val="clear" w:color="000000" w:fill="F2F2F2"/>
            <w:vAlign w:val="center"/>
            <w:hideMark/>
          </w:tcPr>
          <w:p w14:paraId="56BDD74D"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-2,591,604,062.0</w:t>
            </w:r>
          </w:p>
        </w:tc>
        <w:tc>
          <w:tcPr>
            <w:tcW w:w="1590" w:type="dxa"/>
            <w:tcBorders>
              <w:top w:val="nil"/>
              <w:left w:val="nil"/>
              <w:bottom w:val="single" w:sz="12" w:space="0" w:color="808080"/>
              <w:right w:val="nil"/>
            </w:tcBorders>
            <w:shd w:val="clear" w:color="000000" w:fill="F2F2F2"/>
            <w:vAlign w:val="center"/>
            <w:hideMark/>
          </w:tcPr>
          <w:p w14:paraId="4BF9773E" w14:textId="77777777" w:rsidR="00926425" w:rsidRPr="00C97063" w:rsidRDefault="00926425" w:rsidP="002C1B01">
            <w:pPr>
              <w:spacing w:after="0" w:line="240" w:lineRule="exact"/>
              <w:jc w:val="right"/>
              <w:rPr>
                <w:rFonts w:ascii="Montserrat" w:eastAsia="Times New Roman" w:hAnsi="Montserrat"/>
                <w:b/>
                <w:bCs/>
                <w:color w:val="000000"/>
                <w:sz w:val="15"/>
                <w:szCs w:val="15"/>
                <w:lang w:val="es-MX" w:eastAsia="es-MX"/>
              </w:rPr>
            </w:pPr>
            <w:r w:rsidRPr="00C97063">
              <w:rPr>
                <w:rFonts w:ascii="Montserrat" w:eastAsia="Times New Roman" w:hAnsi="Montserrat"/>
                <w:b/>
                <w:bCs/>
                <w:color w:val="000000"/>
                <w:sz w:val="15"/>
                <w:szCs w:val="15"/>
                <w:lang w:eastAsia="es-MX"/>
              </w:rPr>
              <w:t>326,138,931,957.4</w:t>
            </w:r>
          </w:p>
        </w:tc>
      </w:tr>
    </w:tbl>
    <w:p w14:paraId="5AC0E73A" w14:textId="77777777" w:rsidR="00926425" w:rsidRDefault="00926425" w:rsidP="009D5C48">
      <w:pPr>
        <w:pStyle w:val="TEXTONORMAL"/>
        <w:rPr>
          <w:lang w:val="es-MX"/>
        </w:rPr>
      </w:pPr>
    </w:p>
    <w:p w14:paraId="3573912F" w14:textId="77777777" w:rsidR="00926425" w:rsidRDefault="00926425" w:rsidP="009D5C48">
      <w:pPr>
        <w:pStyle w:val="TEXTONORMAL"/>
        <w:rPr>
          <w:lang w:val="es-MX"/>
        </w:rPr>
      </w:pPr>
    </w:p>
    <w:p w14:paraId="2D958E3E" w14:textId="77777777" w:rsidR="00CE74B4" w:rsidRDefault="00CE74B4" w:rsidP="009D5C48">
      <w:pPr>
        <w:pStyle w:val="TEXTONORMAL"/>
        <w:rPr>
          <w:lang w:val="es-MX"/>
        </w:rPr>
      </w:pPr>
    </w:p>
    <w:p w14:paraId="5D7EB604" w14:textId="77777777" w:rsidR="00CE74B4" w:rsidRDefault="00CE74B4" w:rsidP="009D5C48">
      <w:pPr>
        <w:pStyle w:val="TEXTONORMAL"/>
        <w:rPr>
          <w:lang w:val="es-MX"/>
        </w:rPr>
      </w:pPr>
    </w:p>
    <w:p w14:paraId="61199AF5" w14:textId="77777777" w:rsidR="00CE74B4" w:rsidRDefault="00CE74B4" w:rsidP="009D5C48">
      <w:pPr>
        <w:pStyle w:val="TEXTONORMAL"/>
        <w:rPr>
          <w:lang w:val="es-MX"/>
        </w:rPr>
      </w:pPr>
    </w:p>
    <w:p w14:paraId="2E5A8B3C" w14:textId="77777777" w:rsidR="00CE74B4" w:rsidRDefault="00CE74B4" w:rsidP="009D5C48">
      <w:pPr>
        <w:pStyle w:val="TEXTONORMAL"/>
        <w:rPr>
          <w:lang w:val="es-MX"/>
        </w:rPr>
      </w:pPr>
    </w:p>
    <w:p w14:paraId="629C5BA8" w14:textId="77777777" w:rsidR="008C70F7" w:rsidRDefault="008C70F7" w:rsidP="009D5C48">
      <w:pPr>
        <w:pStyle w:val="TEXTONORMAL"/>
        <w:rPr>
          <w:lang w:val="es-MX"/>
        </w:rPr>
      </w:pPr>
    </w:p>
    <w:p w14:paraId="23751439" w14:textId="77777777" w:rsidR="00CE74B4" w:rsidRDefault="00CE74B4" w:rsidP="009D5C48">
      <w:pPr>
        <w:pStyle w:val="TEXTONORMAL"/>
        <w:rPr>
          <w:lang w:val="es-MX"/>
        </w:rPr>
      </w:pPr>
    </w:p>
    <w:p w14:paraId="5D95A087" w14:textId="77777777" w:rsidR="00EE2ED5" w:rsidRDefault="00EE2ED5" w:rsidP="00EE2ED5">
      <w:pPr>
        <w:pStyle w:val="TEXTONORMAL"/>
        <w:rPr>
          <w:lang w:val="es-MX"/>
        </w:rPr>
      </w:pPr>
      <w:r w:rsidRPr="00BE115F">
        <w:lastRenderedPageBreak/>
        <w:t xml:space="preserve">Al </w:t>
      </w:r>
      <w:r>
        <w:t>30 de septiembre de 2022</w:t>
      </w:r>
      <w:r w:rsidRPr="00B06CFA">
        <w:rPr>
          <w:lang w:val="es-MX"/>
        </w:rPr>
        <w:t xml:space="preserve">, </w:t>
      </w:r>
      <w:r w:rsidRPr="00005E73">
        <w:rPr>
          <w:lang w:val="es-MX"/>
        </w:rPr>
        <w:t xml:space="preserve">los Recursos administrados a cuenta de Terceros </w:t>
      </w:r>
      <w:r w:rsidRPr="00B06CFA">
        <w:rPr>
          <w:lang w:val="es-MX"/>
        </w:rPr>
        <w:t>tuvieron los siguientes movimientos:</w:t>
      </w:r>
    </w:p>
    <w:p w14:paraId="503C425E" w14:textId="77777777" w:rsidR="00CE74B4" w:rsidRDefault="00CE74B4" w:rsidP="00EE2ED5">
      <w:pPr>
        <w:pStyle w:val="TEXTONORMAL"/>
        <w:rPr>
          <w:lang w:val="es-MX"/>
        </w:rPr>
      </w:pPr>
    </w:p>
    <w:tbl>
      <w:tblPr>
        <w:tblW w:w="10475" w:type="dxa"/>
        <w:jc w:val="center"/>
        <w:tblCellMar>
          <w:left w:w="70" w:type="dxa"/>
          <w:right w:w="70" w:type="dxa"/>
        </w:tblCellMar>
        <w:tblLook w:val="04A0" w:firstRow="1" w:lastRow="0" w:firstColumn="1" w:lastColumn="0" w:noHBand="0" w:noVBand="1"/>
      </w:tblPr>
      <w:tblGrid>
        <w:gridCol w:w="2391"/>
        <w:gridCol w:w="1287"/>
        <w:gridCol w:w="1326"/>
        <w:gridCol w:w="1648"/>
        <w:gridCol w:w="1982"/>
        <w:gridCol w:w="1841"/>
      </w:tblGrid>
      <w:tr w:rsidR="00CE74B4" w:rsidRPr="00CE74B4" w14:paraId="70993882" w14:textId="77777777" w:rsidTr="00CE74B4">
        <w:trPr>
          <w:trHeight w:val="330"/>
          <w:jc w:val="center"/>
        </w:trPr>
        <w:tc>
          <w:tcPr>
            <w:tcW w:w="239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bottom"/>
            <w:hideMark/>
          </w:tcPr>
          <w:p w14:paraId="32CAFC7F"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Concepto</w:t>
            </w:r>
          </w:p>
        </w:tc>
        <w:tc>
          <w:tcPr>
            <w:tcW w:w="8080" w:type="dxa"/>
            <w:gridSpan w:val="5"/>
            <w:tcBorders>
              <w:top w:val="single" w:sz="12" w:space="0" w:color="808080"/>
              <w:left w:val="nil"/>
              <w:bottom w:val="single" w:sz="12" w:space="0" w:color="FFFFFF"/>
              <w:right w:val="single" w:sz="12" w:space="0" w:color="FFFFFF"/>
            </w:tcBorders>
            <w:shd w:val="clear" w:color="000000" w:fill="D4C19C"/>
            <w:vAlign w:val="bottom"/>
            <w:hideMark/>
          </w:tcPr>
          <w:p w14:paraId="304560A4"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Cifras en pesos al 30 de septiembre de 2022</w:t>
            </w:r>
          </w:p>
        </w:tc>
      </w:tr>
      <w:tr w:rsidR="00CE74B4" w:rsidRPr="00CE74B4" w14:paraId="3838598B" w14:textId="77777777" w:rsidTr="00CE74B4">
        <w:trPr>
          <w:trHeight w:val="315"/>
          <w:jc w:val="center"/>
        </w:trPr>
        <w:tc>
          <w:tcPr>
            <w:tcW w:w="2395" w:type="dxa"/>
            <w:vMerge/>
            <w:tcBorders>
              <w:top w:val="single" w:sz="12" w:space="0" w:color="808080"/>
              <w:left w:val="single" w:sz="12" w:space="0" w:color="FFFFFF"/>
              <w:bottom w:val="double" w:sz="6" w:space="0" w:color="808080"/>
              <w:right w:val="single" w:sz="12" w:space="0" w:color="FFFFFF"/>
            </w:tcBorders>
            <w:vAlign w:val="center"/>
            <w:hideMark/>
          </w:tcPr>
          <w:p w14:paraId="4119D7A0"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276"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1771ED78"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Saldo Inicial</w:t>
            </w:r>
          </w:p>
        </w:tc>
        <w:tc>
          <w:tcPr>
            <w:tcW w:w="1327"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08AFCDFE"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Productos y Gastos Financieros</w:t>
            </w:r>
          </w:p>
        </w:tc>
        <w:tc>
          <w:tcPr>
            <w:tcW w:w="1650" w:type="dxa"/>
            <w:tcBorders>
              <w:top w:val="nil"/>
              <w:left w:val="nil"/>
              <w:bottom w:val="nil"/>
              <w:right w:val="nil"/>
            </w:tcBorders>
            <w:shd w:val="clear" w:color="000000" w:fill="D4C19C"/>
            <w:vAlign w:val="center"/>
            <w:hideMark/>
          </w:tcPr>
          <w:p w14:paraId="5B7E41FE"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Plusvalía/</w:t>
            </w:r>
          </w:p>
        </w:tc>
        <w:tc>
          <w:tcPr>
            <w:tcW w:w="1984"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15B69A5F"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 xml:space="preserve">Transferencias </w:t>
            </w:r>
          </w:p>
        </w:tc>
        <w:tc>
          <w:tcPr>
            <w:tcW w:w="1843"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194CF3F9"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eastAsia="es-MX"/>
              </w:rPr>
              <w:t xml:space="preserve">Saldo Final </w:t>
            </w:r>
          </w:p>
        </w:tc>
      </w:tr>
      <w:tr w:rsidR="00CE74B4" w:rsidRPr="00CE74B4" w14:paraId="4121ABE3" w14:textId="77777777" w:rsidTr="00CE74B4">
        <w:trPr>
          <w:trHeight w:val="300"/>
          <w:jc w:val="center"/>
        </w:trPr>
        <w:tc>
          <w:tcPr>
            <w:tcW w:w="2395" w:type="dxa"/>
            <w:vMerge/>
            <w:tcBorders>
              <w:top w:val="single" w:sz="12" w:space="0" w:color="808080"/>
              <w:left w:val="single" w:sz="12" w:space="0" w:color="FFFFFF"/>
              <w:bottom w:val="double" w:sz="6" w:space="0" w:color="808080"/>
              <w:right w:val="single" w:sz="12" w:space="0" w:color="FFFFFF"/>
            </w:tcBorders>
            <w:vAlign w:val="center"/>
            <w:hideMark/>
          </w:tcPr>
          <w:p w14:paraId="64D00B47"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276" w:type="dxa"/>
            <w:vMerge/>
            <w:tcBorders>
              <w:top w:val="nil"/>
              <w:left w:val="single" w:sz="12" w:space="0" w:color="FFFFFF"/>
              <w:bottom w:val="double" w:sz="6" w:space="0" w:color="808080"/>
              <w:right w:val="single" w:sz="12" w:space="0" w:color="FFFFFF"/>
            </w:tcBorders>
            <w:vAlign w:val="center"/>
            <w:hideMark/>
          </w:tcPr>
          <w:p w14:paraId="1C4D7E35"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327" w:type="dxa"/>
            <w:vMerge/>
            <w:tcBorders>
              <w:top w:val="nil"/>
              <w:left w:val="single" w:sz="12" w:space="0" w:color="FFFFFF"/>
              <w:bottom w:val="double" w:sz="6" w:space="0" w:color="808080"/>
              <w:right w:val="single" w:sz="12" w:space="0" w:color="FFFFFF"/>
            </w:tcBorders>
            <w:vAlign w:val="center"/>
            <w:hideMark/>
          </w:tcPr>
          <w:p w14:paraId="63EF81CE"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650" w:type="dxa"/>
            <w:tcBorders>
              <w:top w:val="nil"/>
              <w:left w:val="nil"/>
              <w:bottom w:val="nil"/>
              <w:right w:val="nil"/>
            </w:tcBorders>
            <w:shd w:val="clear" w:color="000000" w:fill="D4C19C"/>
            <w:vAlign w:val="center"/>
            <w:hideMark/>
          </w:tcPr>
          <w:p w14:paraId="7653B1C5"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val="es-MX" w:eastAsia="es-MX"/>
              </w:rPr>
              <w:t>Minusvalía</w:t>
            </w:r>
          </w:p>
        </w:tc>
        <w:tc>
          <w:tcPr>
            <w:tcW w:w="1984" w:type="dxa"/>
            <w:vMerge/>
            <w:tcBorders>
              <w:top w:val="nil"/>
              <w:left w:val="single" w:sz="12" w:space="0" w:color="FFFFFF"/>
              <w:bottom w:val="double" w:sz="6" w:space="0" w:color="808080"/>
              <w:right w:val="single" w:sz="12" w:space="0" w:color="FFFFFF"/>
            </w:tcBorders>
            <w:vAlign w:val="center"/>
            <w:hideMark/>
          </w:tcPr>
          <w:p w14:paraId="03D7CF07"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843" w:type="dxa"/>
            <w:vMerge/>
            <w:tcBorders>
              <w:top w:val="nil"/>
              <w:left w:val="single" w:sz="12" w:space="0" w:color="FFFFFF"/>
              <w:bottom w:val="double" w:sz="6" w:space="0" w:color="808080"/>
              <w:right w:val="single" w:sz="12" w:space="0" w:color="FFFFFF"/>
            </w:tcBorders>
            <w:vAlign w:val="center"/>
            <w:hideMark/>
          </w:tcPr>
          <w:p w14:paraId="092DE7C8"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r>
      <w:tr w:rsidR="00CE74B4" w:rsidRPr="00CE74B4" w14:paraId="4A4B2CE5" w14:textId="77777777" w:rsidTr="00CE74B4">
        <w:trPr>
          <w:trHeight w:val="300"/>
          <w:jc w:val="center"/>
        </w:trPr>
        <w:tc>
          <w:tcPr>
            <w:tcW w:w="2395" w:type="dxa"/>
            <w:vMerge/>
            <w:tcBorders>
              <w:top w:val="single" w:sz="12" w:space="0" w:color="808080"/>
              <w:left w:val="single" w:sz="12" w:space="0" w:color="FFFFFF"/>
              <w:bottom w:val="double" w:sz="6" w:space="0" w:color="808080"/>
              <w:right w:val="single" w:sz="12" w:space="0" w:color="FFFFFF"/>
            </w:tcBorders>
            <w:vAlign w:val="center"/>
            <w:hideMark/>
          </w:tcPr>
          <w:p w14:paraId="43CC0133"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276" w:type="dxa"/>
            <w:vMerge/>
            <w:tcBorders>
              <w:top w:val="nil"/>
              <w:left w:val="single" w:sz="12" w:space="0" w:color="FFFFFF"/>
              <w:bottom w:val="double" w:sz="6" w:space="0" w:color="808080"/>
              <w:right w:val="single" w:sz="12" w:space="0" w:color="FFFFFF"/>
            </w:tcBorders>
            <w:vAlign w:val="center"/>
            <w:hideMark/>
          </w:tcPr>
          <w:p w14:paraId="0456E449"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327" w:type="dxa"/>
            <w:vMerge/>
            <w:tcBorders>
              <w:top w:val="nil"/>
              <w:left w:val="single" w:sz="12" w:space="0" w:color="FFFFFF"/>
              <w:bottom w:val="double" w:sz="6" w:space="0" w:color="808080"/>
              <w:right w:val="single" w:sz="12" w:space="0" w:color="FFFFFF"/>
            </w:tcBorders>
            <w:vAlign w:val="center"/>
            <w:hideMark/>
          </w:tcPr>
          <w:p w14:paraId="1480876F"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650" w:type="dxa"/>
            <w:tcBorders>
              <w:top w:val="nil"/>
              <w:left w:val="nil"/>
              <w:bottom w:val="nil"/>
              <w:right w:val="nil"/>
            </w:tcBorders>
            <w:shd w:val="clear" w:color="000000" w:fill="D4C19C"/>
            <w:vAlign w:val="center"/>
            <w:hideMark/>
          </w:tcPr>
          <w:p w14:paraId="21D868AB"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val="es-MX" w:eastAsia="es-MX"/>
              </w:rPr>
              <w:t>Valuación</w:t>
            </w:r>
          </w:p>
        </w:tc>
        <w:tc>
          <w:tcPr>
            <w:tcW w:w="1984" w:type="dxa"/>
            <w:vMerge/>
            <w:tcBorders>
              <w:top w:val="nil"/>
              <w:left w:val="single" w:sz="12" w:space="0" w:color="FFFFFF"/>
              <w:bottom w:val="double" w:sz="6" w:space="0" w:color="808080"/>
              <w:right w:val="single" w:sz="12" w:space="0" w:color="FFFFFF"/>
            </w:tcBorders>
            <w:vAlign w:val="center"/>
            <w:hideMark/>
          </w:tcPr>
          <w:p w14:paraId="06343C92"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843" w:type="dxa"/>
            <w:vMerge/>
            <w:tcBorders>
              <w:top w:val="nil"/>
              <w:left w:val="single" w:sz="12" w:space="0" w:color="FFFFFF"/>
              <w:bottom w:val="double" w:sz="6" w:space="0" w:color="808080"/>
              <w:right w:val="single" w:sz="12" w:space="0" w:color="FFFFFF"/>
            </w:tcBorders>
            <w:vAlign w:val="center"/>
            <w:hideMark/>
          </w:tcPr>
          <w:p w14:paraId="1D04555A"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r>
      <w:tr w:rsidR="00CE74B4" w:rsidRPr="00CE74B4" w14:paraId="3B0D1790" w14:textId="77777777" w:rsidTr="00CE74B4">
        <w:trPr>
          <w:trHeight w:val="315"/>
          <w:jc w:val="center"/>
        </w:trPr>
        <w:tc>
          <w:tcPr>
            <w:tcW w:w="2395" w:type="dxa"/>
            <w:vMerge/>
            <w:tcBorders>
              <w:top w:val="single" w:sz="12" w:space="0" w:color="808080"/>
              <w:left w:val="single" w:sz="12" w:space="0" w:color="FFFFFF"/>
              <w:bottom w:val="double" w:sz="6" w:space="0" w:color="808080"/>
              <w:right w:val="single" w:sz="12" w:space="0" w:color="FFFFFF"/>
            </w:tcBorders>
            <w:vAlign w:val="center"/>
            <w:hideMark/>
          </w:tcPr>
          <w:p w14:paraId="410626CE"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276" w:type="dxa"/>
            <w:vMerge/>
            <w:tcBorders>
              <w:top w:val="nil"/>
              <w:left w:val="single" w:sz="12" w:space="0" w:color="FFFFFF"/>
              <w:bottom w:val="double" w:sz="6" w:space="0" w:color="808080"/>
              <w:right w:val="single" w:sz="12" w:space="0" w:color="FFFFFF"/>
            </w:tcBorders>
            <w:vAlign w:val="center"/>
            <w:hideMark/>
          </w:tcPr>
          <w:p w14:paraId="240B8FF8"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327" w:type="dxa"/>
            <w:vMerge/>
            <w:tcBorders>
              <w:top w:val="nil"/>
              <w:left w:val="single" w:sz="12" w:space="0" w:color="FFFFFF"/>
              <w:bottom w:val="double" w:sz="6" w:space="0" w:color="808080"/>
              <w:right w:val="single" w:sz="12" w:space="0" w:color="FFFFFF"/>
            </w:tcBorders>
            <w:vAlign w:val="center"/>
            <w:hideMark/>
          </w:tcPr>
          <w:p w14:paraId="6A9EDC7B"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650" w:type="dxa"/>
            <w:tcBorders>
              <w:top w:val="nil"/>
              <w:left w:val="nil"/>
              <w:bottom w:val="double" w:sz="6" w:space="0" w:color="808080"/>
              <w:right w:val="nil"/>
            </w:tcBorders>
            <w:shd w:val="clear" w:color="000000" w:fill="D4C19C"/>
            <w:vAlign w:val="center"/>
            <w:hideMark/>
          </w:tcPr>
          <w:p w14:paraId="6B7D4E25" w14:textId="77777777" w:rsidR="00CE74B4" w:rsidRPr="00CE74B4" w:rsidRDefault="00CE74B4" w:rsidP="00CE74B4">
            <w:pPr>
              <w:spacing w:after="0" w:line="240" w:lineRule="auto"/>
              <w:jc w:val="center"/>
              <w:rPr>
                <w:rFonts w:ascii="Montserrat" w:eastAsia="Times New Roman" w:hAnsi="Montserrat" w:cs="Calibri"/>
                <w:b/>
                <w:bCs/>
                <w:color w:val="FFFFFF"/>
                <w:sz w:val="16"/>
                <w:szCs w:val="16"/>
                <w:lang w:val="es-MX" w:eastAsia="es-MX"/>
              </w:rPr>
            </w:pPr>
            <w:r w:rsidRPr="00CE74B4">
              <w:rPr>
                <w:rFonts w:ascii="Montserrat" w:eastAsia="Times New Roman" w:hAnsi="Montserrat" w:cs="Calibri"/>
                <w:b/>
                <w:bCs/>
                <w:color w:val="FFFFFF"/>
                <w:sz w:val="16"/>
                <w:szCs w:val="16"/>
                <w:lang w:val="es-MX" w:eastAsia="es-MX"/>
              </w:rPr>
              <w:t>a Mercado</w:t>
            </w:r>
          </w:p>
        </w:tc>
        <w:tc>
          <w:tcPr>
            <w:tcW w:w="1984" w:type="dxa"/>
            <w:vMerge/>
            <w:tcBorders>
              <w:top w:val="nil"/>
              <w:left w:val="single" w:sz="12" w:space="0" w:color="FFFFFF"/>
              <w:bottom w:val="double" w:sz="6" w:space="0" w:color="808080"/>
              <w:right w:val="single" w:sz="12" w:space="0" w:color="FFFFFF"/>
            </w:tcBorders>
            <w:vAlign w:val="center"/>
            <w:hideMark/>
          </w:tcPr>
          <w:p w14:paraId="412BDE1F"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c>
          <w:tcPr>
            <w:tcW w:w="1843" w:type="dxa"/>
            <w:vMerge/>
            <w:tcBorders>
              <w:top w:val="nil"/>
              <w:left w:val="single" w:sz="12" w:space="0" w:color="FFFFFF"/>
              <w:bottom w:val="double" w:sz="6" w:space="0" w:color="808080"/>
              <w:right w:val="single" w:sz="12" w:space="0" w:color="FFFFFF"/>
            </w:tcBorders>
            <w:vAlign w:val="center"/>
            <w:hideMark/>
          </w:tcPr>
          <w:p w14:paraId="4AF52EB1" w14:textId="77777777" w:rsidR="00CE74B4" w:rsidRPr="00CE74B4" w:rsidRDefault="00CE74B4" w:rsidP="00CE74B4">
            <w:pPr>
              <w:spacing w:after="0" w:line="240" w:lineRule="auto"/>
              <w:rPr>
                <w:rFonts w:ascii="Montserrat" w:eastAsia="Times New Roman" w:hAnsi="Montserrat" w:cs="Calibri"/>
                <w:b/>
                <w:bCs/>
                <w:color w:val="FFFFFF"/>
                <w:sz w:val="16"/>
                <w:szCs w:val="16"/>
                <w:lang w:val="es-MX" w:eastAsia="es-MX"/>
              </w:rPr>
            </w:pPr>
          </w:p>
        </w:tc>
      </w:tr>
      <w:tr w:rsidR="00CE74B4" w:rsidRPr="00CE74B4" w14:paraId="1D3E16D5" w14:textId="77777777" w:rsidTr="00CE74B4">
        <w:trPr>
          <w:trHeight w:val="795"/>
          <w:jc w:val="center"/>
        </w:trPr>
        <w:tc>
          <w:tcPr>
            <w:tcW w:w="2395" w:type="dxa"/>
            <w:tcBorders>
              <w:top w:val="nil"/>
              <w:left w:val="nil"/>
              <w:bottom w:val="nil"/>
              <w:right w:val="nil"/>
            </w:tcBorders>
            <w:shd w:val="clear" w:color="000000" w:fill="F2F2F2"/>
            <w:vAlign w:val="center"/>
            <w:hideMark/>
          </w:tcPr>
          <w:p w14:paraId="004DD24C"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Reserva para hacer frente a reclamaciones de SAR</w:t>
            </w:r>
          </w:p>
        </w:tc>
        <w:tc>
          <w:tcPr>
            <w:tcW w:w="1276" w:type="dxa"/>
            <w:tcBorders>
              <w:top w:val="nil"/>
              <w:left w:val="nil"/>
              <w:bottom w:val="nil"/>
              <w:right w:val="nil"/>
            </w:tcBorders>
            <w:shd w:val="clear" w:color="000000" w:fill="F2F2F2"/>
            <w:vAlign w:val="center"/>
            <w:hideMark/>
          </w:tcPr>
          <w:p w14:paraId="44895F10"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8,799,826.5 </w:t>
            </w:r>
          </w:p>
        </w:tc>
        <w:tc>
          <w:tcPr>
            <w:tcW w:w="1327" w:type="dxa"/>
            <w:tcBorders>
              <w:top w:val="nil"/>
              <w:left w:val="nil"/>
              <w:bottom w:val="nil"/>
              <w:right w:val="nil"/>
            </w:tcBorders>
            <w:shd w:val="clear" w:color="000000" w:fill="F2F2F2"/>
            <w:vAlign w:val="center"/>
            <w:hideMark/>
          </w:tcPr>
          <w:p w14:paraId="6510BE28"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-84,575,620.0 </w:t>
            </w:r>
          </w:p>
        </w:tc>
        <w:tc>
          <w:tcPr>
            <w:tcW w:w="1650" w:type="dxa"/>
            <w:tcBorders>
              <w:top w:val="nil"/>
              <w:left w:val="nil"/>
              <w:bottom w:val="nil"/>
              <w:right w:val="nil"/>
            </w:tcBorders>
            <w:shd w:val="clear" w:color="000000" w:fill="F2F2F2"/>
            <w:vAlign w:val="center"/>
            <w:hideMark/>
          </w:tcPr>
          <w:p w14:paraId="4E5BE87C"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    </w:t>
            </w:r>
          </w:p>
        </w:tc>
        <w:tc>
          <w:tcPr>
            <w:tcW w:w="1984" w:type="dxa"/>
            <w:tcBorders>
              <w:top w:val="nil"/>
              <w:left w:val="nil"/>
              <w:bottom w:val="nil"/>
              <w:right w:val="nil"/>
            </w:tcBorders>
            <w:shd w:val="clear" w:color="000000" w:fill="F2F2F2"/>
            <w:vAlign w:val="center"/>
            <w:hideMark/>
          </w:tcPr>
          <w:p w14:paraId="36F2C2BA"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82,852,893.2 </w:t>
            </w:r>
          </w:p>
        </w:tc>
        <w:tc>
          <w:tcPr>
            <w:tcW w:w="1843" w:type="dxa"/>
            <w:tcBorders>
              <w:top w:val="nil"/>
              <w:left w:val="nil"/>
              <w:bottom w:val="nil"/>
              <w:right w:val="nil"/>
            </w:tcBorders>
            <w:shd w:val="clear" w:color="000000" w:fill="F2F2F2"/>
            <w:vAlign w:val="center"/>
            <w:hideMark/>
          </w:tcPr>
          <w:p w14:paraId="1A251FB5"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7,077,099.7 </w:t>
            </w:r>
          </w:p>
        </w:tc>
      </w:tr>
      <w:tr w:rsidR="00CE74B4" w:rsidRPr="00CE74B4" w14:paraId="58827400" w14:textId="77777777" w:rsidTr="00CE74B4">
        <w:trPr>
          <w:trHeight w:val="585"/>
          <w:jc w:val="center"/>
        </w:trPr>
        <w:tc>
          <w:tcPr>
            <w:tcW w:w="2395" w:type="dxa"/>
            <w:tcBorders>
              <w:top w:val="nil"/>
              <w:left w:val="nil"/>
              <w:bottom w:val="nil"/>
              <w:right w:val="nil"/>
            </w:tcBorders>
            <w:shd w:val="clear" w:color="000000" w:fill="F2F2F2"/>
            <w:vAlign w:val="center"/>
            <w:hideMark/>
          </w:tcPr>
          <w:p w14:paraId="71FEA611"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Reserva Artículo 302 de la Ley del Seguro Social 2021</w:t>
            </w:r>
          </w:p>
        </w:tc>
        <w:tc>
          <w:tcPr>
            <w:tcW w:w="1276" w:type="dxa"/>
            <w:tcBorders>
              <w:top w:val="nil"/>
              <w:left w:val="nil"/>
              <w:bottom w:val="nil"/>
              <w:right w:val="nil"/>
            </w:tcBorders>
            <w:shd w:val="clear" w:color="000000" w:fill="F2F2F2"/>
            <w:vAlign w:val="center"/>
            <w:hideMark/>
          </w:tcPr>
          <w:p w14:paraId="5135DF53"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    </w:t>
            </w:r>
          </w:p>
        </w:tc>
        <w:tc>
          <w:tcPr>
            <w:tcW w:w="1327" w:type="dxa"/>
            <w:tcBorders>
              <w:top w:val="nil"/>
              <w:left w:val="nil"/>
              <w:bottom w:val="nil"/>
              <w:right w:val="nil"/>
            </w:tcBorders>
            <w:shd w:val="clear" w:color="000000" w:fill="F2F2F2"/>
            <w:vAlign w:val="center"/>
            <w:hideMark/>
          </w:tcPr>
          <w:p w14:paraId="1AC54474"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12,295,576.1 </w:t>
            </w:r>
          </w:p>
        </w:tc>
        <w:tc>
          <w:tcPr>
            <w:tcW w:w="1650" w:type="dxa"/>
            <w:tcBorders>
              <w:top w:val="nil"/>
              <w:left w:val="nil"/>
              <w:bottom w:val="nil"/>
              <w:right w:val="nil"/>
            </w:tcBorders>
            <w:shd w:val="clear" w:color="000000" w:fill="F2F2F2"/>
            <w:vAlign w:val="center"/>
            <w:hideMark/>
          </w:tcPr>
          <w:p w14:paraId="1CDFCCB1"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- 1,337,580.0 </w:t>
            </w:r>
          </w:p>
        </w:tc>
        <w:tc>
          <w:tcPr>
            <w:tcW w:w="1984" w:type="dxa"/>
            <w:tcBorders>
              <w:top w:val="nil"/>
              <w:left w:val="nil"/>
              <w:bottom w:val="nil"/>
              <w:right w:val="nil"/>
            </w:tcBorders>
            <w:shd w:val="clear" w:color="000000" w:fill="F2F2F2"/>
            <w:vAlign w:val="center"/>
            <w:hideMark/>
          </w:tcPr>
          <w:p w14:paraId="50BC5EC4"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402,853,571.2 </w:t>
            </w:r>
          </w:p>
        </w:tc>
        <w:tc>
          <w:tcPr>
            <w:tcW w:w="1843" w:type="dxa"/>
            <w:tcBorders>
              <w:top w:val="nil"/>
              <w:left w:val="nil"/>
              <w:bottom w:val="nil"/>
              <w:right w:val="nil"/>
            </w:tcBorders>
            <w:shd w:val="clear" w:color="000000" w:fill="F2F2F2"/>
            <w:vAlign w:val="center"/>
            <w:hideMark/>
          </w:tcPr>
          <w:p w14:paraId="658C7572"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413,811,567.3 </w:t>
            </w:r>
          </w:p>
        </w:tc>
      </w:tr>
      <w:tr w:rsidR="00CE74B4" w:rsidRPr="00CE74B4" w14:paraId="0FD737E5" w14:textId="77777777" w:rsidTr="00CE74B4">
        <w:trPr>
          <w:trHeight w:val="390"/>
          <w:jc w:val="center"/>
        </w:trPr>
        <w:tc>
          <w:tcPr>
            <w:tcW w:w="2395" w:type="dxa"/>
            <w:tcBorders>
              <w:top w:val="nil"/>
              <w:left w:val="nil"/>
              <w:bottom w:val="nil"/>
              <w:right w:val="nil"/>
            </w:tcBorders>
            <w:shd w:val="clear" w:color="000000" w:fill="F2F2F2"/>
            <w:vAlign w:val="center"/>
            <w:hideMark/>
          </w:tcPr>
          <w:p w14:paraId="1FA8F8D2"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Fondo de Fomento a la Educación (FOFOE)</w:t>
            </w:r>
          </w:p>
        </w:tc>
        <w:tc>
          <w:tcPr>
            <w:tcW w:w="1276" w:type="dxa"/>
            <w:tcBorders>
              <w:top w:val="nil"/>
              <w:left w:val="nil"/>
              <w:bottom w:val="nil"/>
              <w:right w:val="nil"/>
            </w:tcBorders>
            <w:shd w:val="clear" w:color="000000" w:fill="F2F2F2"/>
            <w:vAlign w:val="center"/>
            <w:hideMark/>
          </w:tcPr>
          <w:p w14:paraId="305E5B72"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894,944,357.8 </w:t>
            </w:r>
          </w:p>
        </w:tc>
        <w:tc>
          <w:tcPr>
            <w:tcW w:w="1327" w:type="dxa"/>
            <w:tcBorders>
              <w:top w:val="nil"/>
              <w:left w:val="nil"/>
              <w:bottom w:val="nil"/>
              <w:right w:val="nil"/>
            </w:tcBorders>
            <w:shd w:val="clear" w:color="000000" w:fill="F2F2F2"/>
            <w:vAlign w:val="center"/>
            <w:hideMark/>
          </w:tcPr>
          <w:p w14:paraId="2EE6DF02"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44,728,617.4 </w:t>
            </w:r>
          </w:p>
        </w:tc>
        <w:tc>
          <w:tcPr>
            <w:tcW w:w="1650" w:type="dxa"/>
            <w:tcBorders>
              <w:top w:val="nil"/>
              <w:left w:val="nil"/>
              <w:bottom w:val="nil"/>
              <w:right w:val="nil"/>
            </w:tcBorders>
            <w:shd w:val="clear" w:color="000000" w:fill="F2F2F2"/>
            <w:vAlign w:val="center"/>
            <w:hideMark/>
          </w:tcPr>
          <w:p w14:paraId="6A062B36"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    </w:t>
            </w:r>
          </w:p>
        </w:tc>
        <w:tc>
          <w:tcPr>
            <w:tcW w:w="1984" w:type="dxa"/>
            <w:tcBorders>
              <w:top w:val="nil"/>
              <w:left w:val="nil"/>
              <w:bottom w:val="nil"/>
              <w:right w:val="nil"/>
            </w:tcBorders>
            <w:shd w:val="clear" w:color="000000" w:fill="F2F2F2"/>
            <w:vAlign w:val="center"/>
            <w:hideMark/>
          </w:tcPr>
          <w:p w14:paraId="09B4AE82"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-144,929,071.3 </w:t>
            </w:r>
          </w:p>
        </w:tc>
        <w:tc>
          <w:tcPr>
            <w:tcW w:w="1843" w:type="dxa"/>
            <w:tcBorders>
              <w:top w:val="nil"/>
              <w:left w:val="nil"/>
              <w:bottom w:val="nil"/>
              <w:right w:val="nil"/>
            </w:tcBorders>
            <w:shd w:val="clear" w:color="000000" w:fill="F2F2F2"/>
            <w:vAlign w:val="center"/>
            <w:hideMark/>
          </w:tcPr>
          <w:p w14:paraId="73975650"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794,743,903.9 </w:t>
            </w:r>
          </w:p>
        </w:tc>
      </w:tr>
      <w:tr w:rsidR="00CE74B4" w:rsidRPr="00CE74B4" w14:paraId="5C4D00B3" w14:textId="77777777" w:rsidTr="00CE74B4">
        <w:trPr>
          <w:trHeight w:val="390"/>
          <w:jc w:val="center"/>
        </w:trPr>
        <w:tc>
          <w:tcPr>
            <w:tcW w:w="2395" w:type="dxa"/>
            <w:tcBorders>
              <w:top w:val="nil"/>
              <w:left w:val="nil"/>
              <w:bottom w:val="nil"/>
              <w:right w:val="nil"/>
            </w:tcBorders>
            <w:shd w:val="clear" w:color="000000" w:fill="F2F2F2"/>
            <w:vAlign w:val="center"/>
            <w:hideMark/>
          </w:tcPr>
          <w:p w14:paraId="4E881758"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Cláusulas 85-89 (C 85-89)</w:t>
            </w:r>
          </w:p>
        </w:tc>
        <w:tc>
          <w:tcPr>
            <w:tcW w:w="1276" w:type="dxa"/>
            <w:tcBorders>
              <w:top w:val="nil"/>
              <w:left w:val="nil"/>
              <w:bottom w:val="nil"/>
              <w:right w:val="nil"/>
            </w:tcBorders>
            <w:shd w:val="clear" w:color="000000" w:fill="F2F2F2"/>
            <w:vAlign w:val="center"/>
            <w:hideMark/>
          </w:tcPr>
          <w:p w14:paraId="55F46BED"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623,579,697.4 </w:t>
            </w:r>
          </w:p>
        </w:tc>
        <w:tc>
          <w:tcPr>
            <w:tcW w:w="1327" w:type="dxa"/>
            <w:tcBorders>
              <w:top w:val="nil"/>
              <w:left w:val="nil"/>
              <w:bottom w:val="nil"/>
              <w:right w:val="nil"/>
            </w:tcBorders>
            <w:shd w:val="clear" w:color="000000" w:fill="F2F2F2"/>
            <w:vAlign w:val="center"/>
            <w:hideMark/>
          </w:tcPr>
          <w:p w14:paraId="1CDD3E96"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36,842,403.5 </w:t>
            </w:r>
          </w:p>
        </w:tc>
        <w:tc>
          <w:tcPr>
            <w:tcW w:w="1650" w:type="dxa"/>
            <w:tcBorders>
              <w:top w:val="nil"/>
              <w:left w:val="nil"/>
              <w:bottom w:val="nil"/>
              <w:right w:val="nil"/>
            </w:tcBorders>
            <w:shd w:val="clear" w:color="000000" w:fill="F2F2F2"/>
            <w:vAlign w:val="center"/>
            <w:hideMark/>
          </w:tcPr>
          <w:p w14:paraId="6EB6D203"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    </w:t>
            </w:r>
          </w:p>
        </w:tc>
        <w:tc>
          <w:tcPr>
            <w:tcW w:w="1984" w:type="dxa"/>
            <w:tcBorders>
              <w:top w:val="nil"/>
              <w:left w:val="nil"/>
              <w:bottom w:val="nil"/>
              <w:right w:val="nil"/>
            </w:tcBorders>
            <w:shd w:val="clear" w:color="000000" w:fill="F2F2F2"/>
            <w:vAlign w:val="center"/>
            <w:hideMark/>
          </w:tcPr>
          <w:p w14:paraId="76A3AEE7"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117,246,707.7 </w:t>
            </w:r>
          </w:p>
        </w:tc>
        <w:tc>
          <w:tcPr>
            <w:tcW w:w="1843" w:type="dxa"/>
            <w:tcBorders>
              <w:top w:val="nil"/>
              <w:left w:val="nil"/>
              <w:bottom w:val="nil"/>
              <w:right w:val="nil"/>
            </w:tcBorders>
            <w:shd w:val="clear" w:color="000000" w:fill="F2F2F2"/>
            <w:vAlign w:val="center"/>
            <w:hideMark/>
          </w:tcPr>
          <w:p w14:paraId="0079D0D4"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777,668,808.6 </w:t>
            </w:r>
          </w:p>
        </w:tc>
      </w:tr>
      <w:tr w:rsidR="00CE74B4" w:rsidRPr="00CE74B4" w14:paraId="65A07E6C" w14:textId="77777777" w:rsidTr="00CE74B4">
        <w:trPr>
          <w:trHeight w:val="780"/>
          <w:jc w:val="center"/>
        </w:trPr>
        <w:tc>
          <w:tcPr>
            <w:tcW w:w="2395" w:type="dxa"/>
            <w:tcBorders>
              <w:top w:val="nil"/>
              <w:left w:val="nil"/>
              <w:bottom w:val="nil"/>
              <w:right w:val="nil"/>
            </w:tcBorders>
            <w:shd w:val="clear" w:color="000000" w:fill="F2F2F2"/>
            <w:vAlign w:val="center"/>
            <w:hideMark/>
          </w:tcPr>
          <w:p w14:paraId="1120A8E6"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Aportaciones Federales para el Pago de Pensiones (AFPP)</w:t>
            </w:r>
          </w:p>
        </w:tc>
        <w:tc>
          <w:tcPr>
            <w:tcW w:w="1276" w:type="dxa"/>
            <w:tcBorders>
              <w:top w:val="nil"/>
              <w:left w:val="nil"/>
              <w:bottom w:val="nil"/>
              <w:right w:val="nil"/>
            </w:tcBorders>
            <w:shd w:val="clear" w:color="000000" w:fill="F2F2F2"/>
            <w:vAlign w:val="center"/>
            <w:hideMark/>
          </w:tcPr>
          <w:p w14:paraId="2CFC44A4"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18,900,850.5 </w:t>
            </w:r>
          </w:p>
        </w:tc>
        <w:tc>
          <w:tcPr>
            <w:tcW w:w="1327" w:type="dxa"/>
            <w:tcBorders>
              <w:top w:val="nil"/>
              <w:left w:val="nil"/>
              <w:bottom w:val="nil"/>
              <w:right w:val="nil"/>
            </w:tcBorders>
            <w:shd w:val="clear" w:color="000000" w:fill="F2F2F2"/>
            <w:vAlign w:val="center"/>
            <w:hideMark/>
          </w:tcPr>
          <w:p w14:paraId="64E20D2F"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35,568,084.0 </w:t>
            </w:r>
          </w:p>
        </w:tc>
        <w:tc>
          <w:tcPr>
            <w:tcW w:w="1650" w:type="dxa"/>
            <w:tcBorders>
              <w:top w:val="nil"/>
              <w:left w:val="nil"/>
              <w:bottom w:val="nil"/>
              <w:right w:val="nil"/>
            </w:tcBorders>
            <w:shd w:val="clear" w:color="000000" w:fill="F2F2F2"/>
            <w:vAlign w:val="center"/>
            <w:hideMark/>
          </w:tcPr>
          <w:p w14:paraId="4F20BA76"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    </w:t>
            </w:r>
          </w:p>
        </w:tc>
        <w:tc>
          <w:tcPr>
            <w:tcW w:w="1984" w:type="dxa"/>
            <w:tcBorders>
              <w:top w:val="nil"/>
              <w:left w:val="nil"/>
              <w:bottom w:val="nil"/>
              <w:right w:val="nil"/>
            </w:tcBorders>
            <w:shd w:val="clear" w:color="000000" w:fill="F2F2F2"/>
            <w:vAlign w:val="center"/>
            <w:hideMark/>
          </w:tcPr>
          <w:p w14:paraId="359E1A68"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-18,895,088.0 </w:t>
            </w:r>
          </w:p>
        </w:tc>
        <w:tc>
          <w:tcPr>
            <w:tcW w:w="1843" w:type="dxa"/>
            <w:tcBorders>
              <w:top w:val="nil"/>
              <w:left w:val="nil"/>
              <w:bottom w:val="nil"/>
              <w:right w:val="nil"/>
            </w:tcBorders>
            <w:shd w:val="clear" w:color="000000" w:fill="F2F2F2"/>
            <w:vAlign w:val="center"/>
            <w:hideMark/>
          </w:tcPr>
          <w:p w14:paraId="0D67E3F2"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35,573,846.5 </w:t>
            </w:r>
          </w:p>
        </w:tc>
      </w:tr>
      <w:tr w:rsidR="00CE74B4" w:rsidRPr="00CE74B4" w14:paraId="2744A528" w14:textId="77777777" w:rsidTr="00CE74B4">
        <w:trPr>
          <w:trHeight w:val="975"/>
          <w:jc w:val="center"/>
        </w:trPr>
        <w:tc>
          <w:tcPr>
            <w:tcW w:w="2395" w:type="dxa"/>
            <w:tcBorders>
              <w:top w:val="nil"/>
              <w:left w:val="nil"/>
              <w:bottom w:val="nil"/>
              <w:right w:val="nil"/>
            </w:tcBorders>
            <w:shd w:val="clear" w:color="000000" w:fill="F2F2F2"/>
            <w:vAlign w:val="center"/>
            <w:hideMark/>
          </w:tcPr>
          <w:p w14:paraId="591EE853"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Recursos del Convenio entre IMSS-Bienestar con el Instituto de Salud para el Bienestar (INSABI)</w:t>
            </w:r>
          </w:p>
        </w:tc>
        <w:tc>
          <w:tcPr>
            <w:tcW w:w="1276" w:type="dxa"/>
            <w:tcBorders>
              <w:top w:val="nil"/>
              <w:left w:val="nil"/>
              <w:bottom w:val="nil"/>
              <w:right w:val="nil"/>
            </w:tcBorders>
            <w:shd w:val="clear" w:color="000000" w:fill="F2F2F2"/>
            <w:vAlign w:val="center"/>
            <w:hideMark/>
          </w:tcPr>
          <w:p w14:paraId="11C391FF"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1,013,226,551.6 </w:t>
            </w:r>
          </w:p>
        </w:tc>
        <w:tc>
          <w:tcPr>
            <w:tcW w:w="1327" w:type="dxa"/>
            <w:tcBorders>
              <w:top w:val="nil"/>
              <w:left w:val="nil"/>
              <w:bottom w:val="nil"/>
              <w:right w:val="nil"/>
            </w:tcBorders>
            <w:shd w:val="clear" w:color="000000" w:fill="F2F2F2"/>
            <w:vAlign w:val="center"/>
            <w:hideMark/>
          </w:tcPr>
          <w:p w14:paraId="16C48EF3"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53,030,818.8 </w:t>
            </w:r>
          </w:p>
        </w:tc>
        <w:tc>
          <w:tcPr>
            <w:tcW w:w="1650" w:type="dxa"/>
            <w:tcBorders>
              <w:top w:val="nil"/>
              <w:left w:val="nil"/>
              <w:bottom w:val="nil"/>
              <w:right w:val="nil"/>
            </w:tcBorders>
            <w:shd w:val="clear" w:color="000000" w:fill="F2F2F2"/>
            <w:vAlign w:val="center"/>
            <w:hideMark/>
          </w:tcPr>
          <w:p w14:paraId="0DACB34F"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    </w:t>
            </w:r>
          </w:p>
        </w:tc>
        <w:tc>
          <w:tcPr>
            <w:tcW w:w="1984" w:type="dxa"/>
            <w:tcBorders>
              <w:top w:val="nil"/>
              <w:left w:val="nil"/>
              <w:bottom w:val="nil"/>
              <w:right w:val="nil"/>
            </w:tcBorders>
            <w:shd w:val="clear" w:color="000000" w:fill="F2F2F2"/>
            <w:vAlign w:val="center"/>
            <w:hideMark/>
          </w:tcPr>
          <w:p w14:paraId="35678590"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-85,920,334.8 </w:t>
            </w:r>
          </w:p>
        </w:tc>
        <w:tc>
          <w:tcPr>
            <w:tcW w:w="1843" w:type="dxa"/>
            <w:tcBorders>
              <w:top w:val="nil"/>
              <w:left w:val="nil"/>
              <w:bottom w:val="nil"/>
              <w:right w:val="nil"/>
            </w:tcBorders>
            <w:shd w:val="clear" w:color="000000" w:fill="F2F2F2"/>
            <w:vAlign w:val="center"/>
            <w:hideMark/>
          </w:tcPr>
          <w:p w14:paraId="5F7BB110"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980,337,035.6 </w:t>
            </w:r>
          </w:p>
        </w:tc>
      </w:tr>
      <w:tr w:rsidR="00CE74B4" w:rsidRPr="00CE74B4" w14:paraId="2D7D21F6" w14:textId="77777777" w:rsidTr="00A461CA">
        <w:trPr>
          <w:trHeight w:val="780"/>
          <w:jc w:val="center"/>
        </w:trPr>
        <w:tc>
          <w:tcPr>
            <w:tcW w:w="2395" w:type="dxa"/>
            <w:tcBorders>
              <w:top w:val="nil"/>
              <w:left w:val="nil"/>
              <w:right w:val="nil"/>
            </w:tcBorders>
            <w:shd w:val="clear" w:color="000000" w:fill="F2F2F2"/>
            <w:vAlign w:val="center"/>
            <w:hideMark/>
          </w:tcPr>
          <w:p w14:paraId="0F80AA0E" w14:textId="77777777" w:rsidR="00CE74B4" w:rsidRPr="00CE74B4" w:rsidRDefault="00CE74B4" w:rsidP="00CE74B4">
            <w:pPr>
              <w:spacing w:after="0" w:line="240" w:lineRule="auto"/>
              <w:jc w:val="both"/>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Recursos para ampliar la cobertura de IMSS-Bienestar (BIENESTAR)</w:t>
            </w:r>
          </w:p>
        </w:tc>
        <w:tc>
          <w:tcPr>
            <w:tcW w:w="1276" w:type="dxa"/>
            <w:tcBorders>
              <w:top w:val="nil"/>
              <w:left w:val="nil"/>
              <w:right w:val="nil"/>
            </w:tcBorders>
            <w:shd w:val="clear" w:color="000000" w:fill="F2F2F2"/>
            <w:vAlign w:val="center"/>
            <w:hideMark/>
          </w:tcPr>
          <w:p w14:paraId="5608893E"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  -    </w:t>
            </w:r>
          </w:p>
        </w:tc>
        <w:tc>
          <w:tcPr>
            <w:tcW w:w="1327" w:type="dxa"/>
            <w:tcBorders>
              <w:top w:val="nil"/>
              <w:left w:val="nil"/>
              <w:right w:val="nil"/>
            </w:tcBorders>
            <w:shd w:val="clear" w:color="000000" w:fill="F2F2F2"/>
            <w:vAlign w:val="center"/>
            <w:hideMark/>
          </w:tcPr>
          <w:p w14:paraId="2085E52B"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44,217,447.3 </w:t>
            </w:r>
          </w:p>
        </w:tc>
        <w:tc>
          <w:tcPr>
            <w:tcW w:w="1650" w:type="dxa"/>
            <w:tcBorders>
              <w:top w:val="nil"/>
              <w:left w:val="nil"/>
              <w:right w:val="nil"/>
            </w:tcBorders>
            <w:shd w:val="clear" w:color="000000" w:fill="F2F2F2"/>
            <w:vAlign w:val="center"/>
            <w:hideMark/>
          </w:tcPr>
          <w:p w14:paraId="4BB56DB3"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    </w:t>
            </w:r>
          </w:p>
        </w:tc>
        <w:tc>
          <w:tcPr>
            <w:tcW w:w="1984" w:type="dxa"/>
            <w:tcBorders>
              <w:top w:val="nil"/>
              <w:left w:val="nil"/>
              <w:right w:val="nil"/>
            </w:tcBorders>
            <w:shd w:val="clear" w:color="000000" w:fill="F2F2F2"/>
            <w:vAlign w:val="center"/>
            <w:hideMark/>
          </w:tcPr>
          <w:p w14:paraId="0A3E4605"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eastAsia="es-MX"/>
              </w:rPr>
              <w:t xml:space="preserve">2,494,078,571.9 </w:t>
            </w:r>
          </w:p>
        </w:tc>
        <w:tc>
          <w:tcPr>
            <w:tcW w:w="1843" w:type="dxa"/>
            <w:tcBorders>
              <w:top w:val="nil"/>
              <w:left w:val="nil"/>
              <w:right w:val="nil"/>
            </w:tcBorders>
            <w:shd w:val="clear" w:color="000000" w:fill="F2F2F2"/>
            <w:vAlign w:val="center"/>
            <w:hideMark/>
          </w:tcPr>
          <w:p w14:paraId="1210E711" w14:textId="77777777" w:rsidR="00CE74B4" w:rsidRPr="00CE74B4" w:rsidRDefault="00CE74B4" w:rsidP="00CE74B4">
            <w:pPr>
              <w:spacing w:after="0" w:line="240" w:lineRule="auto"/>
              <w:jc w:val="right"/>
              <w:rPr>
                <w:rFonts w:ascii="Montserrat" w:eastAsia="Times New Roman" w:hAnsi="Montserrat" w:cs="Calibri"/>
                <w:color w:val="000000"/>
                <w:sz w:val="15"/>
                <w:szCs w:val="15"/>
                <w:lang w:val="es-MX" w:eastAsia="es-MX"/>
              </w:rPr>
            </w:pPr>
            <w:r w:rsidRPr="00CE74B4">
              <w:rPr>
                <w:rFonts w:ascii="Montserrat" w:eastAsia="Times New Roman" w:hAnsi="Montserrat" w:cs="Calibri"/>
                <w:color w:val="000000"/>
                <w:sz w:val="15"/>
                <w:szCs w:val="15"/>
                <w:lang w:val="es-MX" w:eastAsia="es-MX"/>
              </w:rPr>
              <w:t xml:space="preserve"> 2,538,296,019.2 </w:t>
            </w:r>
          </w:p>
        </w:tc>
      </w:tr>
      <w:tr w:rsidR="00CE74B4" w:rsidRPr="00CE74B4" w14:paraId="46DA830C" w14:textId="77777777" w:rsidTr="00A461CA">
        <w:trPr>
          <w:trHeight w:val="780"/>
          <w:jc w:val="center"/>
        </w:trPr>
        <w:tc>
          <w:tcPr>
            <w:tcW w:w="2395" w:type="dxa"/>
            <w:tcBorders>
              <w:top w:val="nil"/>
              <w:left w:val="nil"/>
              <w:bottom w:val="single" w:sz="4" w:space="0" w:color="auto"/>
              <w:right w:val="nil"/>
            </w:tcBorders>
            <w:shd w:val="clear" w:color="000000" w:fill="F2F2F2"/>
            <w:vAlign w:val="center"/>
            <w:hideMark/>
          </w:tcPr>
          <w:p w14:paraId="348CA958" w14:textId="77777777" w:rsidR="00CE74B4" w:rsidRPr="00CE74B4" w:rsidRDefault="00CE74B4" w:rsidP="00CE74B4">
            <w:pPr>
              <w:spacing w:after="0" w:line="240" w:lineRule="auto"/>
              <w:jc w:val="both"/>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eastAsia="es-MX"/>
              </w:rPr>
              <w:t>Total</w:t>
            </w:r>
            <w:r>
              <w:rPr>
                <w:rFonts w:ascii="Montserrat" w:eastAsia="Times New Roman" w:hAnsi="Montserrat" w:cs="Calibri"/>
                <w:b/>
                <w:bCs/>
                <w:color w:val="000000"/>
                <w:sz w:val="15"/>
                <w:szCs w:val="15"/>
                <w:lang w:eastAsia="es-MX"/>
              </w:rPr>
              <w:t xml:space="preserve"> </w:t>
            </w:r>
            <w:r w:rsidRPr="00CE74B4">
              <w:rPr>
                <w:rFonts w:ascii="Montserrat" w:eastAsia="Times New Roman" w:hAnsi="Montserrat" w:cs="Calibri"/>
                <w:b/>
                <w:bCs/>
                <w:color w:val="000000"/>
                <w:sz w:val="15"/>
                <w:szCs w:val="15"/>
                <w:lang w:eastAsia="es-MX"/>
              </w:rPr>
              <w:t>Recursos administrados a cuenta de Terceros</w:t>
            </w:r>
          </w:p>
        </w:tc>
        <w:tc>
          <w:tcPr>
            <w:tcW w:w="1276" w:type="dxa"/>
            <w:tcBorders>
              <w:top w:val="nil"/>
              <w:left w:val="nil"/>
              <w:bottom w:val="single" w:sz="4" w:space="0" w:color="auto"/>
              <w:right w:val="nil"/>
            </w:tcBorders>
            <w:shd w:val="clear" w:color="000000" w:fill="F2F2F2"/>
            <w:vAlign w:val="center"/>
            <w:hideMark/>
          </w:tcPr>
          <w:p w14:paraId="134959AE" w14:textId="77777777" w:rsidR="00CE74B4" w:rsidRPr="00CE74B4" w:rsidRDefault="00CE74B4" w:rsidP="00CE74B4">
            <w:pPr>
              <w:spacing w:after="0" w:line="240" w:lineRule="auto"/>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val="es-MX" w:eastAsia="es-MX"/>
              </w:rPr>
              <w:t xml:space="preserve">2,559,451,283.8 </w:t>
            </w:r>
          </w:p>
        </w:tc>
        <w:tc>
          <w:tcPr>
            <w:tcW w:w="1327" w:type="dxa"/>
            <w:tcBorders>
              <w:top w:val="nil"/>
              <w:left w:val="nil"/>
              <w:bottom w:val="single" w:sz="4" w:space="0" w:color="auto"/>
              <w:right w:val="nil"/>
            </w:tcBorders>
            <w:shd w:val="clear" w:color="000000" w:fill="F2F2F2"/>
            <w:vAlign w:val="center"/>
            <w:hideMark/>
          </w:tcPr>
          <w:p w14:paraId="00023158" w14:textId="77777777" w:rsidR="00CE74B4" w:rsidRPr="00CE74B4" w:rsidRDefault="00CE74B4" w:rsidP="00CE74B4">
            <w:pPr>
              <w:spacing w:after="0" w:line="240" w:lineRule="auto"/>
              <w:jc w:val="right"/>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val="es-MX" w:eastAsia="es-MX"/>
              </w:rPr>
              <w:t xml:space="preserve">  142,107,327.1 </w:t>
            </w:r>
          </w:p>
        </w:tc>
        <w:tc>
          <w:tcPr>
            <w:tcW w:w="1650" w:type="dxa"/>
            <w:tcBorders>
              <w:top w:val="nil"/>
              <w:left w:val="nil"/>
              <w:bottom w:val="single" w:sz="4" w:space="0" w:color="auto"/>
              <w:right w:val="nil"/>
            </w:tcBorders>
            <w:shd w:val="clear" w:color="000000" w:fill="F2F2F2"/>
            <w:vAlign w:val="center"/>
            <w:hideMark/>
          </w:tcPr>
          <w:p w14:paraId="6F2BBB3B" w14:textId="77777777" w:rsidR="00CE74B4" w:rsidRPr="00CE74B4" w:rsidRDefault="00CE74B4" w:rsidP="00CE74B4">
            <w:pPr>
              <w:spacing w:after="0" w:line="240" w:lineRule="auto"/>
              <w:jc w:val="right"/>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val="es-MX" w:eastAsia="es-MX"/>
              </w:rPr>
              <w:t xml:space="preserve">- 1,337,580.0 </w:t>
            </w:r>
          </w:p>
        </w:tc>
        <w:tc>
          <w:tcPr>
            <w:tcW w:w="1984" w:type="dxa"/>
            <w:tcBorders>
              <w:top w:val="nil"/>
              <w:left w:val="nil"/>
              <w:bottom w:val="single" w:sz="4" w:space="0" w:color="auto"/>
              <w:right w:val="nil"/>
            </w:tcBorders>
            <w:shd w:val="clear" w:color="000000" w:fill="F2F2F2"/>
            <w:vAlign w:val="center"/>
            <w:hideMark/>
          </w:tcPr>
          <w:p w14:paraId="7BBAC476" w14:textId="77777777" w:rsidR="00CE74B4" w:rsidRPr="00CE74B4" w:rsidRDefault="00CE74B4" w:rsidP="00CE74B4">
            <w:pPr>
              <w:spacing w:after="0" w:line="240" w:lineRule="auto"/>
              <w:jc w:val="right"/>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eastAsia="es-MX"/>
              </w:rPr>
              <w:t xml:space="preserve">  2,847,287,249.9 </w:t>
            </w:r>
          </w:p>
        </w:tc>
        <w:tc>
          <w:tcPr>
            <w:tcW w:w="1843" w:type="dxa"/>
            <w:tcBorders>
              <w:top w:val="nil"/>
              <w:left w:val="nil"/>
              <w:bottom w:val="single" w:sz="4" w:space="0" w:color="auto"/>
              <w:right w:val="nil"/>
            </w:tcBorders>
            <w:shd w:val="clear" w:color="000000" w:fill="F2F2F2"/>
            <w:vAlign w:val="center"/>
            <w:hideMark/>
          </w:tcPr>
          <w:p w14:paraId="470FDE93" w14:textId="77777777" w:rsidR="00CE74B4" w:rsidRPr="00CE74B4" w:rsidRDefault="00CE74B4" w:rsidP="00CE74B4">
            <w:pPr>
              <w:spacing w:after="0" w:line="240" w:lineRule="auto"/>
              <w:jc w:val="right"/>
              <w:rPr>
                <w:rFonts w:ascii="Montserrat" w:eastAsia="Times New Roman" w:hAnsi="Montserrat" w:cs="Calibri"/>
                <w:b/>
                <w:bCs/>
                <w:color w:val="000000"/>
                <w:sz w:val="15"/>
                <w:szCs w:val="15"/>
                <w:lang w:val="es-MX" w:eastAsia="es-MX"/>
              </w:rPr>
            </w:pPr>
            <w:r w:rsidRPr="00CE74B4">
              <w:rPr>
                <w:rFonts w:ascii="Montserrat" w:eastAsia="Times New Roman" w:hAnsi="Montserrat" w:cs="Calibri"/>
                <w:b/>
                <w:bCs/>
                <w:color w:val="000000"/>
                <w:sz w:val="15"/>
                <w:szCs w:val="15"/>
                <w:lang w:val="es-MX" w:eastAsia="es-MX"/>
              </w:rPr>
              <w:t xml:space="preserve">  5,547,508,280.8 </w:t>
            </w:r>
          </w:p>
        </w:tc>
      </w:tr>
    </w:tbl>
    <w:p w14:paraId="47E22E70" w14:textId="77777777" w:rsidR="00EE2ED5" w:rsidRDefault="00EE2ED5" w:rsidP="009D5C48">
      <w:pPr>
        <w:pStyle w:val="TEXTONORMAL"/>
        <w:rPr>
          <w:lang w:val="es-MX"/>
        </w:rPr>
      </w:pPr>
    </w:p>
    <w:p w14:paraId="4B1C58AD" w14:textId="77777777" w:rsidR="00926425" w:rsidRDefault="00926425" w:rsidP="009D5C48">
      <w:pPr>
        <w:pStyle w:val="TEXTONORMAL"/>
        <w:rPr>
          <w:lang w:val="es-MX"/>
        </w:rPr>
      </w:pPr>
    </w:p>
    <w:p w14:paraId="1982C475" w14:textId="77777777" w:rsidR="00926425" w:rsidRDefault="00926425" w:rsidP="009D5C48">
      <w:pPr>
        <w:pStyle w:val="TEXTONORMAL"/>
        <w:rPr>
          <w:lang w:val="es-MX"/>
        </w:rPr>
      </w:pPr>
    </w:p>
    <w:p w14:paraId="48B78DA7" w14:textId="77777777" w:rsidR="002C1B01" w:rsidRDefault="002C1B01" w:rsidP="009D5C48">
      <w:pPr>
        <w:pStyle w:val="TEXTONORMAL"/>
        <w:rPr>
          <w:lang w:val="es-MX"/>
        </w:rPr>
      </w:pPr>
    </w:p>
    <w:p w14:paraId="44C20EA4" w14:textId="77777777" w:rsidR="009A4968" w:rsidRPr="00AF07B3" w:rsidRDefault="009A4968" w:rsidP="009A4968">
      <w:pPr>
        <w:pStyle w:val="TEXTONORMAL"/>
        <w:tabs>
          <w:tab w:val="left" w:pos="12758"/>
        </w:tabs>
        <w:rPr>
          <w:lang w:val="es-MX"/>
        </w:rPr>
      </w:pPr>
      <w:r w:rsidRPr="00AF07B3">
        <w:rPr>
          <w:b/>
          <w:lang w:val="es-MX"/>
        </w:rPr>
        <w:lastRenderedPageBreak/>
        <w:t>1.7.b)</w:t>
      </w:r>
      <w:r w:rsidRPr="00AF07B3">
        <w:rPr>
          <w:lang w:val="es-MX"/>
        </w:rPr>
        <w:t xml:space="preserve"> </w:t>
      </w:r>
      <w:r w:rsidR="009C4949" w:rsidRPr="00AF07B3">
        <w:t>Al 30 de septiembre</w:t>
      </w:r>
      <w:r w:rsidRPr="00AF07B3">
        <w:t xml:space="preserve"> de 2022 y al 31 de diciembre de 2021</w:t>
      </w:r>
      <w:r w:rsidRPr="00AF07B3">
        <w:rPr>
          <w:lang w:val="es-MX"/>
        </w:rPr>
        <w:t xml:space="preserve">, las </w:t>
      </w:r>
      <w:r w:rsidR="006B29AE">
        <w:rPr>
          <w:lang w:val="es-MX"/>
        </w:rPr>
        <w:t>Participaciones y Aportaciones de Capital</w:t>
      </w:r>
      <w:r w:rsidRPr="00AF07B3">
        <w:rPr>
          <w:lang w:val="es-MX"/>
        </w:rPr>
        <w:t xml:space="preserve"> se integran como sigue:</w:t>
      </w:r>
    </w:p>
    <w:p w14:paraId="63B894A6" w14:textId="77777777" w:rsidR="009A4968" w:rsidRPr="009C4949" w:rsidRDefault="009A4968" w:rsidP="009A4968">
      <w:pPr>
        <w:pStyle w:val="TEXTONORMAL"/>
        <w:rPr>
          <w:highlight w:val="yellow"/>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27"/>
        <w:gridCol w:w="1452"/>
        <w:gridCol w:w="1564"/>
      </w:tblGrid>
      <w:tr w:rsidR="009A4968" w:rsidRPr="009C4949" w14:paraId="3B347354"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3B2B93CC" w14:textId="77777777" w:rsidR="009A4968" w:rsidRPr="00AF07B3" w:rsidRDefault="009A4968" w:rsidP="009A4968">
            <w:pPr>
              <w:spacing w:after="0" w:line="240" w:lineRule="exact"/>
              <w:jc w:val="center"/>
              <w:rPr>
                <w:rFonts w:ascii="Montserrat" w:hAnsi="Montserrat"/>
                <w:b/>
                <w:color w:val="FFFFFF"/>
                <w:sz w:val="16"/>
                <w:szCs w:val="16"/>
              </w:rPr>
            </w:pPr>
            <w:r w:rsidRPr="00AF07B3">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11D1DDBE" w14:textId="77777777" w:rsidR="009A4968" w:rsidRPr="00AF07B3" w:rsidRDefault="009A4968" w:rsidP="009A4968">
            <w:pPr>
              <w:spacing w:after="0" w:line="240" w:lineRule="exact"/>
              <w:jc w:val="center"/>
              <w:rPr>
                <w:rFonts w:ascii="Montserrat" w:hAnsi="Montserrat"/>
                <w:b/>
                <w:color w:val="FFFFFF"/>
                <w:sz w:val="16"/>
                <w:szCs w:val="16"/>
              </w:rPr>
            </w:pPr>
            <w:r w:rsidRPr="00AF07B3">
              <w:rPr>
                <w:rFonts w:ascii="Montserrat" w:hAnsi="Montserrat"/>
                <w:b/>
                <w:color w:val="FFFFFF"/>
                <w:sz w:val="16"/>
                <w:szCs w:val="16"/>
              </w:rPr>
              <w:t>Cifras en pesos</w:t>
            </w:r>
          </w:p>
        </w:tc>
      </w:tr>
      <w:tr w:rsidR="009A4968" w:rsidRPr="009C4949" w14:paraId="4136567F"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663924EC" w14:textId="77777777" w:rsidR="009A4968" w:rsidRPr="00AF07B3"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94A4F8C" w14:textId="77777777" w:rsidR="009A4968" w:rsidRPr="00AF07B3" w:rsidRDefault="009A4968" w:rsidP="009A4968">
            <w:pPr>
              <w:spacing w:after="0" w:line="240" w:lineRule="exact"/>
              <w:jc w:val="center"/>
              <w:rPr>
                <w:rFonts w:ascii="Montserrat" w:hAnsi="Montserrat"/>
                <w:b/>
                <w:color w:val="FFFFFF"/>
                <w:sz w:val="16"/>
                <w:szCs w:val="16"/>
              </w:rPr>
            </w:pPr>
            <w:r w:rsidRPr="00AF07B3">
              <w:rPr>
                <w:rFonts w:ascii="Montserrat" w:hAnsi="Montserrat"/>
                <w:b/>
                <w:color w:val="FFFFFF"/>
                <w:sz w:val="16"/>
                <w:szCs w:val="16"/>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2DA7138" w14:textId="77777777" w:rsidR="009A4968" w:rsidRPr="00AF07B3" w:rsidRDefault="009A4968" w:rsidP="009A4968">
            <w:pPr>
              <w:spacing w:after="0" w:line="240" w:lineRule="exact"/>
              <w:jc w:val="center"/>
              <w:rPr>
                <w:rFonts w:ascii="Montserrat" w:hAnsi="Montserrat"/>
                <w:b/>
                <w:color w:val="FFFFFF"/>
                <w:sz w:val="16"/>
                <w:szCs w:val="16"/>
              </w:rPr>
            </w:pPr>
            <w:r w:rsidRPr="00AF07B3">
              <w:rPr>
                <w:rFonts w:ascii="Montserrat" w:hAnsi="Montserrat"/>
                <w:b/>
                <w:color w:val="FFFFFF"/>
                <w:sz w:val="16"/>
                <w:szCs w:val="16"/>
              </w:rPr>
              <w:t>2021</w:t>
            </w:r>
          </w:p>
        </w:tc>
      </w:tr>
      <w:tr w:rsidR="009A4968" w:rsidRPr="009C4949" w14:paraId="0ABF4232" w14:textId="77777777" w:rsidTr="009A4968">
        <w:tc>
          <w:tcPr>
            <w:tcW w:w="0" w:type="auto"/>
            <w:tcBorders>
              <w:top w:val="double" w:sz="12" w:space="0" w:color="808080"/>
              <w:left w:val="nil"/>
              <w:bottom w:val="nil"/>
              <w:right w:val="nil"/>
            </w:tcBorders>
            <w:shd w:val="clear" w:color="auto" w:fill="F2F2F2"/>
            <w:hideMark/>
          </w:tcPr>
          <w:p w14:paraId="5CA1285E" w14:textId="77777777" w:rsidR="009A4968" w:rsidRPr="00AF07B3" w:rsidRDefault="009A4968" w:rsidP="009A4968">
            <w:pPr>
              <w:tabs>
                <w:tab w:val="right" w:pos="4120"/>
              </w:tabs>
              <w:spacing w:after="0" w:line="240" w:lineRule="exact"/>
              <w:rPr>
                <w:rFonts w:ascii="Montserrat" w:hAnsi="Montserrat"/>
                <w:sz w:val="15"/>
                <w:szCs w:val="15"/>
              </w:rPr>
            </w:pPr>
            <w:r w:rsidRPr="00AF07B3">
              <w:rPr>
                <w:rFonts w:ascii="Montserrat" w:hAnsi="Montserrat"/>
                <w:sz w:val="15"/>
                <w:szCs w:val="15"/>
              </w:rPr>
              <w:t>Participación en el Capital de Compañías Asociadas.</w:t>
            </w:r>
          </w:p>
        </w:tc>
        <w:tc>
          <w:tcPr>
            <w:tcW w:w="0" w:type="auto"/>
            <w:tcBorders>
              <w:top w:val="double" w:sz="12" w:space="0" w:color="808080"/>
              <w:left w:val="nil"/>
              <w:bottom w:val="nil"/>
              <w:right w:val="nil"/>
            </w:tcBorders>
            <w:shd w:val="clear" w:color="auto" w:fill="F2F2F2"/>
            <w:vAlign w:val="bottom"/>
          </w:tcPr>
          <w:p w14:paraId="2D967D02" w14:textId="77777777" w:rsidR="009A4968" w:rsidRPr="00AF07B3" w:rsidRDefault="009A4968"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01468DEC" w14:textId="77777777" w:rsidR="009A4968" w:rsidRPr="00AF07B3" w:rsidRDefault="009A4968" w:rsidP="009A4968">
            <w:pPr>
              <w:spacing w:after="0" w:line="240" w:lineRule="exact"/>
              <w:jc w:val="right"/>
              <w:rPr>
                <w:rFonts w:ascii="Montserrat" w:hAnsi="Montserrat"/>
                <w:sz w:val="15"/>
                <w:szCs w:val="15"/>
              </w:rPr>
            </w:pPr>
          </w:p>
        </w:tc>
      </w:tr>
      <w:tr w:rsidR="00514BB2" w:rsidRPr="009C4949" w14:paraId="2918A896" w14:textId="77777777" w:rsidTr="009A4968">
        <w:tc>
          <w:tcPr>
            <w:tcW w:w="0" w:type="auto"/>
            <w:tcBorders>
              <w:top w:val="nil"/>
              <w:left w:val="nil"/>
              <w:bottom w:val="nil"/>
              <w:right w:val="nil"/>
            </w:tcBorders>
            <w:shd w:val="clear" w:color="auto" w:fill="F2F2F2"/>
            <w:hideMark/>
          </w:tcPr>
          <w:p w14:paraId="665B3920" w14:textId="77777777" w:rsidR="00514BB2" w:rsidRPr="00AF07B3" w:rsidRDefault="00514BB2" w:rsidP="00514BB2">
            <w:pPr>
              <w:spacing w:after="0" w:line="240" w:lineRule="exact"/>
              <w:rPr>
                <w:rFonts w:ascii="Montserrat" w:hAnsi="Montserrat"/>
                <w:sz w:val="15"/>
                <w:szCs w:val="15"/>
              </w:rPr>
            </w:pPr>
            <w:r w:rsidRPr="00AF07B3">
              <w:rPr>
                <w:rFonts w:ascii="Montserrat" w:hAnsi="Montserrat"/>
                <w:sz w:val="15"/>
                <w:szCs w:val="15"/>
              </w:rPr>
              <w:t>Afore XXI Banorte</w:t>
            </w:r>
          </w:p>
        </w:tc>
        <w:tc>
          <w:tcPr>
            <w:tcW w:w="0" w:type="auto"/>
            <w:tcBorders>
              <w:top w:val="nil"/>
              <w:left w:val="nil"/>
              <w:bottom w:val="nil"/>
              <w:right w:val="nil"/>
            </w:tcBorders>
            <w:shd w:val="clear" w:color="auto" w:fill="F2F2F2"/>
            <w:hideMark/>
          </w:tcPr>
          <w:p w14:paraId="54AB7879" w14:textId="77777777" w:rsidR="00514BB2" w:rsidRPr="00514BB2" w:rsidRDefault="00514BB2" w:rsidP="00514BB2">
            <w:pPr>
              <w:spacing w:after="0" w:line="240" w:lineRule="exact"/>
              <w:jc w:val="right"/>
              <w:rPr>
                <w:rFonts w:ascii="Montserrat" w:hAnsi="Montserrat"/>
                <w:sz w:val="15"/>
                <w:szCs w:val="15"/>
              </w:rPr>
            </w:pPr>
            <w:r w:rsidRPr="00514BB2">
              <w:rPr>
                <w:rFonts w:ascii="Montserrat" w:hAnsi="Montserrat"/>
                <w:sz w:val="15"/>
                <w:szCs w:val="15"/>
              </w:rPr>
              <w:t xml:space="preserve"> 11,664,211,122.3 </w:t>
            </w:r>
          </w:p>
        </w:tc>
        <w:tc>
          <w:tcPr>
            <w:tcW w:w="0" w:type="auto"/>
            <w:tcBorders>
              <w:top w:val="nil"/>
              <w:left w:val="nil"/>
              <w:bottom w:val="nil"/>
              <w:right w:val="nil"/>
            </w:tcBorders>
            <w:shd w:val="clear" w:color="auto" w:fill="F2F2F2"/>
          </w:tcPr>
          <w:p w14:paraId="51399512" w14:textId="77777777" w:rsidR="00514BB2" w:rsidRPr="00AF07B3" w:rsidRDefault="00514BB2" w:rsidP="00514BB2">
            <w:pPr>
              <w:spacing w:after="0" w:line="240" w:lineRule="exact"/>
              <w:jc w:val="right"/>
              <w:rPr>
                <w:rFonts w:ascii="Montserrat" w:hAnsi="Montserrat"/>
                <w:sz w:val="15"/>
                <w:szCs w:val="15"/>
              </w:rPr>
            </w:pPr>
            <w:r w:rsidRPr="00AF07B3">
              <w:rPr>
                <w:rFonts w:ascii="Montserrat" w:hAnsi="Montserrat"/>
                <w:sz w:val="15"/>
                <w:szCs w:val="15"/>
              </w:rPr>
              <w:t xml:space="preserve"> 13,000,055,303.3 </w:t>
            </w:r>
          </w:p>
        </w:tc>
      </w:tr>
      <w:tr w:rsidR="00514BB2" w:rsidRPr="009C4949" w14:paraId="67A60A46" w14:textId="77777777" w:rsidTr="009A4968">
        <w:tc>
          <w:tcPr>
            <w:tcW w:w="0" w:type="auto"/>
            <w:tcBorders>
              <w:top w:val="nil"/>
              <w:left w:val="nil"/>
              <w:bottom w:val="nil"/>
              <w:right w:val="nil"/>
            </w:tcBorders>
            <w:shd w:val="clear" w:color="auto" w:fill="F2F2F2"/>
            <w:hideMark/>
          </w:tcPr>
          <w:p w14:paraId="32083C30" w14:textId="77777777" w:rsidR="00514BB2" w:rsidRPr="00AF07B3" w:rsidRDefault="00514BB2" w:rsidP="00514BB2">
            <w:pPr>
              <w:spacing w:after="0" w:line="240" w:lineRule="exact"/>
              <w:rPr>
                <w:rFonts w:ascii="Montserrat" w:hAnsi="Montserrat"/>
                <w:sz w:val="15"/>
                <w:szCs w:val="15"/>
              </w:rPr>
            </w:pPr>
            <w:r w:rsidRPr="00AF07B3">
              <w:rPr>
                <w:rFonts w:ascii="Montserrat" w:hAnsi="Montserrat"/>
                <w:sz w:val="15"/>
                <w:szCs w:val="15"/>
              </w:rPr>
              <w:t>Crédito Mercantil</w:t>
            </w:r>
          </w:p>
        </w:tc>
        <w:tc>
          <w:tcPr>
            <w:tcW w:w="0" w:type="auto"/>
            <w:tcBorders>
              <w:top w:val="nil"/>
              <w:left w:val="nil"/>
              <w:bottom w:val="nil"/>
              <w:right w:val="nil"/>
            </w:tcBorders>
            <w:shd w:val="clear" w:color="auto" w:fill="F2F2F2"/>
            <w:hideMark/>
          </w:tcPr>
          <w:p w14:paraId="00F9D209" w14:textId="77777777" w:rsidR="00514BB2" w:rsidRPr="00514BB2" w:rsidRDefault="00514BB2" w:rsidP="00514BB2">
            <w:pPr>
              <w:spacing w:after="0" w:line="240" w:lineRule="exact"/>
              <w:jc w:val="right"/>
              <w:rPr>
                <w:rFonts w:ascii="Montserrat" w:hAnsi="Montserrat"/>
                <w:sz w:val="15"/>
                <w:szCs w:val="15"/>
              </w:rPr>
            </w:pPr>
            <w:r w:rsidRPr="00514BB2">
              <w:rPr>
                <w:rFonts w:ascii="Montserrat" w:hAnsi="Montserrat"/>
                <w:sz w:val="15"/>
                <w:szCs w:val="15"/>
              </w:rPr>
              <w:t xml:space="preserve"> 1,854,750,786.</w:t>
            </w:r>
            <w:r>
              <w:rPr>
                <w:rFonts w:ascii="Montserrat" w:hAnsi="Montserrat"/>
                <w:sz w:val="15"/>
                <w:szCs w:val="15"/>
              </w:rPr>
              <w:t>7</w:t>
            </w:r>
            <w:r w:rsidRPr="00514BB2">
              <w:rPr>
                <w:rFonts w:ascii="Montserrat" w:hAnsi="Montserrat"/>
                <w:sz w:val="15"/>
                <w:szCs w:val="15"/>
              </w:rPr>
              <w:t xml:space="preserve"> </w:t>
            </w:r>
          </w:p>
        </w:tc>
        <w:tc>
          <w:tcPr>
            <w:tcW w:w="0" w:type="auto"/>
            <w:tcBorders>
              <w:top w:val="nil"/>
              <w:left w:val="nil"/>
              <w:bottom w:val="nil"/>
              <w:right w:val="nil"/>
            </w:tcBorders>
            <w:shd w:val="clear" w:color="auto" w:fill="F2F2F2"/>
          </w:tcPr>
          <w:p w14:paraId="0AFB5985" w14:textId="77777777" w:rsidR="00514BB2" w:rsidRPr="00AF07B3" w:rsidRDefault="00514BB2" w:rsidP="00514BB2">
            <w:pPr>
              <w:spacing w:after="0" w:line="240" w:lineRule="exact"/>
              <w:jc w:val="right"/>
              <w:rPr>
                <w:rFonts w:ascii="Montserrat" w:hAnsi="Montserrat"/>
                <w:sz w:val="15"/>
                <w:szCs w:val="15"/>
              </w:rPr>
            </w:pPr>
            <w:r w:rsidRPr="00AF07B3">
              <w:rPr>
                <w:rFonts w:ascii="Montserrat" w:hAnsi="Montserrat"/>
                <w:sz w:val="15"/>
                <w:szCs w:val="15"/>
              </w:rPr>
              <w:t xml:space="preserve"> 1,854,750,786.7 </w:t>
            </w:r>
          </w:p>
        </w:tc>
      </w:tr>
      <w:tr w:rsidR="009A4968" w:rsidRPr="009C4949" w14:paraId="0A78158D" w14:textId="77777777" w:rsidTr="009A4968">
        <w:tc>
          <w:tcPr>
            <w:tcW w:w="0" w:type="auto"/>
            <w:tcBorders>
              <w:top w:val="nil"/>
              <w:left w:val="nil"/>
              <w:bottom w:val="single" w:sz="12" w:space="0" w:color="808080"/>
              <w:right w:val="nil"/>
            </w:tcBorders>
            <w:shd w:val="clear" w:color="auto" w:fill="F2F2F2"/>
            <w:hideMark/>
          </w:tcPr>
          <w:p w14:paraId="67E5054B" w14:textId="77777777" w:rsidR="009A4968" w:rsidRPr="00AF07B3" w:rsidRDefault="009A4968" w:rsidP="009A4968">
            <w:pPr>
              <w:spacing w:after="0" w:line="240" w:lineRule="exact"/>
              <w:rPr>
                <w:rFonts w:ascii="Montserrat" w:hAnsi="Montserrat"/>
                <w:b/>
                <w:sz w:val="15"/>
                <w:szCs w:val="15"/>
              </w:rPr>
            </w:pPr>
            <w:r w:rsidRPr="00AF07B3">
              <w:rPr>
                <w:rFonts w:ascii="Montserrat" w:hAnsi="Montserrat"/>
                <w:b/>
                <w:sz w:val="15"/>
                <w:szCs w:val="15"/>
              </w:rPr>
              <w:t xml:space="preserve">Total </w:t>
            </w:r>
            <w:r w:rsidR="006B29AE">
              <w:rPr>
                <w:rFonts w:ascii="Montserrat" w:hAnsi="Montserrat"/>
                <w:b/>
                <w:sz w:val="15"/>
                <w:szCs w:val="15"/>
              </w:rPr>
              <w:t>Participaciones y Aportaciones de Capital</w:t>
            </w:r>
          </w:p>
        </w:tc>
        <w:tc>
          <w:tcPr>
            <w:tcW w:w="0" w:type="auto"/>
            <w:tcBorders>
              <w:top w:val="nil"/>
              <w:left w:val="nil"/>
              <w:bottom w:val="single" w:sz="12" w:space="0" w:color="808080"/>
              <w:right w:val="nil"/>
            </w:tcBorders>
            <w:shd w:val="clear" w:color="auto" w:fill="F2F2F2"/>
            <w:hideMark/>
          </w:tcPr>
          <w:p w14:paraId="5808F8F1" w14:textId="77777777" w:rsidR="009A4968" w:rsidRPr="00514BB2" w:rsidRDefault="009A4968" w:rsidP="009A4968">
            <w:pPr>
              <w:spacing w:after="0" w:line="240" w:lineRule="exact"/>
              <w:jc w:val="right"/>
              <w:rPr>
                <w:rFonts w:ascii="Montserrat" w:hAnsi="Montserrat"/>
                <w:b/>
                <w:bCs/>
                <w:sz w:val="15"/>
                <w:szCs w:val="15"/>
              </w:rPr>
            </w:pPr>
            <w:r w:rsidRPr="00514BB2">
              <w:rPr>
                <w:rFonts w:ascii="Montserrat" w:hAnsi="Montserrat"/>
                <w:sz w:val="15"/>
                <w:szCs w:val="15"/>
              </w:rPr>
              <w:t xml:space="preserve"> </w:t>
            </w:r>
            <w:r w:rsidR="00514BB2" w:rsidRPr="00514BB2">
              <w:rPr>
                <w:rFonts w:ascii="Montserrat" w:hAnsi="Montserrat"/>
                <w:b/>
                <w:bCs/>
                <w:sz w:val="15"/>
                <w:szCs w:val="15"/>
              </w:rPr>
              <w:t>13,518,961,90</w:t>
            </w:r>
            <w:r w:rsidR="00514BB2">
              <w:rPr>
                <w:rFonts w:ascii="Montserrat" w:hAnsi="Montserrat"/>
                <w:b/>
                <w:bCs/>
                <w:sz w:val="15"/>
                <w:szCs w:val="15"/>
              </w:rPr>
              <w:t>9.0</w:t>
            </w:r>
          </w:p>
        </w:tc>
        <w:tc>
          <w:tcPr>
            <w:tcW w:w="0" w:type="auto"/>
            <w:tcBorders>
              <w:top w:val="nil"/>
              <w:left w:val="nil"/>
              <w:bottom w:val="single" w:sz="12" w:space="0" w:color="808080"/>
              <w:right w:val="nil"/>
            </w:tcBorders>
            <w:shd w:val="clear" w:color="auto" w:fill="F2F2F2"/>
          </w:tcPr>
          <w:p w14:paraId="6B432890" w14:textId="77777777" w:rsidR="009A4968" w:rsidRPr="00AF07B3" w:rsidRDefault="009A4968" w:rsidP="009A4968">
            <w:pPr>
              <w:spacing w:after="0" w:line="240" w:lineRule="exact"/>
              <w:jc w:val="right"/>
              <w:rPr>
                <w:rFonts w:ascii="Montserrat" w:hAnsi="Montserrat"/>
                <w:b/>
                <w:sz w:val="15"/>
                <w:szCs w:val="15"/>
              </w:rPr>
            </w:pPr>
            <w:r w:rsidRPr="00AF07B3">
              <w:rPr>
                <w:rFonts w:ascii="Montserrat" w:hAnsi="Montserrat"/>
                <w:sz w:val="15"/>
                <w:szCs w:val="15"/>
              </w:rPr>
              <w:t xml:space="preserve"> </w:t>
            </w:r>
            <w:r w:rsidRPr="00AF07B3">
              <w:rPr>
                <w:rFonts w:ascii="Montserrat" w:hAnsi="Montserrat"/>
                <w:b/>
                <w:bCs/>
                <w:sz w:val="15"/>
                <w:szCs w:val="15"/>
              </w:rPr>
              <w:t>14,854,806,0</w:t>
            </w:r>
            <w:r w:rsidR="002C1B01" w:rsidRPr="00AF07B3">
              <w:rPr>
                <w:rFonts w:ascii="Montserrat" w:hAnsi="Montserrat"/>
                <w:b/>
                <w:bCs/>
                <w:sz w:val="15"/>
                <w:szCs w:val="15"/>
              </w:rPr>
              <w:t>90.0</w:t>
            </w:r>
            <w:r w:rsidRPr="00AF07B3">
              <w:rPr>
                <w:rFonts w:ascii="Montserrat" w:hAnsi="Montserrat"/>
                <w:b/>
                <w:bCs/>
                <w:sz w:val="15"/>
                <w:szCs w:val="15"/>
              </w:rPr>
              <w:t xml:space="preserve"> </w:t>
            </w:r>
          </w:p>
        </w:tc>
      </w:tr>
    </w:tbl>
    <w:p w14:paraId="3BDF71CD" w14:textId="77777777" w:rsidR="009A4968" w:rsidRPr="009C4949" w:rsidRDefault="009A4968" w:rsidP="009A4968">
      <w:pPr>
        <w:pStyle w:val="TEXTONORMAL"/>
        <w:rPr>
          <w:highlight w:val="yellow"/>
          <w:lang w:val="es-MX"/>
        </w:rPr>
      </w:pPr>
    </w:p>
    <w:p w14:paraId="061DAC6E" w14:textId="77777777" w:rsidR="009A4968" w:rsidRPr="009C4949" w:rsidRDefault="009A4968" w:rsidP="009A4968">
      <w:pPr>
        <w:pStyle w:val="TEXTONORMAL"/>
        <w:rPr>
          <w:highlight w:val="yellow"/>
          <w:lang w:val="es-MX"/>
        </w:rPr>
      </w:pPr>
    </w:p>
    <w:p w14:paraId="3B6C9B1A" w14:textId="77777777" w:rsidR="009A4968" w:rsidRPr="009C4949" w:rsidRDefault="009A4968" w:rsidP="009A4968">
      <w:pPr>
        <w:pStyle w:val="TEXTONORMAL"/>
        <w:rPr>
          <w:highlight w:val="yellow"/>
          <w:lang w:val="es-MX"/>
        </w:rPr>
      </w:pPr>
    </w:p>
    <w:p w14:paraId="5087158D" w14:textId="77777777" w:rsidR="009A4968" w:rsidRPr="009C4949" w:rsidRDefault="009A4968" w:rsidP="009A4968">
      <w:pPr>
        <w:pStyle w:val="TEXTONORMAL"/>
        <w:rPr>
          <w:highlight w:val="yellow"/>
          <w:lang w:val="es-MX"/>
        </w:rPr>
      </w:pPr>
    </w:p>
    <w:p w14:paraId="6952ABA5" w14:textId="77777777" w:rsidR="009A4968" w:rsidRPr="009C4949" w:rsidRDefault="009A4968" w:rsidP="009A4968">
      <w:pPr>
        <w:pStyle w:val="TEXTONORMAL"/>
        <w:ind w:left="709"/>
        <w:rPr>
          <w:highlight w:val="yellow"/>
          <w:lang w:val="es-MX"/>
        </w:rPr>
      </w:pPr>
    </w:p>
    <w:p w14:paraId="238FC896" w14:textId="77777777" w:rsidR="00A461CA" w:rsidRDefault="00A461CA" w:rsidP="009A4968">
      <w:pPr>
        <w:pStyle w:val="TEXTONORMAL"/>
        <w:rPr>
          <w:lang w:val="es-MX"/>
        </w:rPr>
      </w:pPr>
    </w:p>
    <w:p w14:paraId="5E0EEEB1" w14:textId="77777777" w:rsidR="009A4968" w:rsidRPr="00514BB2" w:rsidRDefault="009A4968" w:rsidP="009A4968">
      <w:pPr>
        <w:pStyle w:val="TEXTONORMAL"/>
        <w:rPr>
          <w:lang w:val="es-MX"/>
        </w:rPr>
      </w:pPr>
      <w:r w:rsidRPr="00514BB2">
        <w:rPr>
          <w:lang w:val="es-MX"/>
        </w:rPr>
        <w:t>Participación en los Resultados de las Asociadas:</w:t>
      </w:r>
    </w:p>
    <w:p w14:paraId="7DE7F216" w14:textId="77777777" w:rsidR="009A4968" w:rsidRPr="009C4949" w:rsidRDefault="009A4968" w:rsidP="009A4968">
      <w:pPr>
        <w:pStyle w:val="TEXTONORMAL"/>
        <w:rPr>
          <w:highlight w:val="yellow"/>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49"/>
        <w:gridCol w:w="2033"/>
        <w:gridCol w:w="3857"/>
      </w:tblGrid>
      <w:tr w:rsidR="009A4968" w:rsidRPr="00514BB2" w14:paraId="7EE2D4C3" w14:textId="77777777" w:rsidTr="009A4968">
        <w:trPr>
          <w:trHeight w:val="46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463F2483"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7F688C6E"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Cifras en  pesos</w:t>
            </w:r>
          </w:p>
          <w:p w14:paraId="68E045CE"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 xml:space="preserve">Al 30 de </w:t>
            </w:r>
            <w:r w:rsidR="00514BB2">
              <w:rPr>
                <w:rFonts w:ascii="Montserrat" w:hAnsi="Montserrat"/>
                <w:b/>
                <w:color w:val="FFFFFF"/>
                <w:sz w:val="16"/>
                <w:szCs w:val="16"/>
              </w:rPr>
              <w:t xml:space="preserve">septiembre </w:t>
            </w:r>
            <w:r w:rsidRPr="00514BB2">
              <w:rPr>
                <w:rFonts w:ascii="Montserrat" w:hAnsi="Montserrat"/>
                <w:b/>
                <w:color w:val="FFFFFF"/>
                <w:sz w:val="16"/>
                <w:szCs w:val="16"/>
              </w:rPr>
              <w:t>de 2022</w:t>
            </w:r>
          </w:p>
        </w:tc>
      </w:tr>
      <w:tr w:rsidR="009A4968" w:rsidRPr="00514BB2" w14:paraId="6C48E67A" w14:textId="77777777" w:rsidTr="009A4968">
        <w:trPr>
          <w:trHeight w:val="139"/>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5F093061" w14:textId="77777777" w:rsidR="009A4968" w:rsidRPr="00514BB2"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E91D6AC"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Inversión en 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BE571BB"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Participación en los resultados del ejercicio</w:t>
            </w:r>
          </w:p>
        </w:tc>
      </w:tr>
      <w:tr w:rsidR="00514BB2" w:rsidRPr="00514BB2" w14:paraId="1AA76F22" w14:textId="77777777" w:rsidTr="009A4968">
        <w:trPr>
          <w:trHeight w:val="232"/>
        </w:trPr>
        <w:tc>
          <w:tcPr>
            <w:tcW w:w="0" w:type="auto"/>
            <w:tcBorders>
              <w:top w:val="double" w:sz="12" w:space="0" w:color="808080"/>
              <w:left w:val="nil"/>
              <w:bottom w:val="nil"/>
              <w:right w:val="nil"/>
            </w:tcBorders>
            <w:shd w:val="clear" w:color="auto" w:fill="F2F2F2"/>
            <w:hideMark/>
          </w:tcPr>
          <w:p w14:paraId="43BEC477" w14:textId="77777777" w:rsidR="00514BB2" w:rsidRPr="00514BB2" w:rsidRDefault="00514BB2" w:rsidP="00514BB2">
            <w:pPr>
              <w:tabs>
                <w:tab w:val="right" w:pos="4120"/>
              </w:tabs>
              <w:spacing w:after="0" w:line="240" w:lineRule="exact"/>
              <w:rPr>
                <w:rFonts w:ascii="Montserrat" w:hAnsi="Montserrat"/>
                <w:sz w:val="15"/>
                <w:szCs w:val="15"/>
              </w:rPr>
            </w:pPr>
            <w:r w:rsidRPr="00514BB2">
              <w:rPr>
                <w:rFonts w:ascii="Montserrat" w:hAnsi="Montserrat"/>
                <w:sz w:val="15"/>
                <w:szCs w:val="15"/>
              </w:rPr>
              <w:t xml:space="preserve">Afore XXI Banorte </w:t>
            </w:r>
          </w:p>
        </w:tc>
        <w:tc>
          <w:tcPr>
            <w:tcW w:w="0" w:type="auto"/>
            <w:tcBorders>
              <w:top w:val="double" w:sz="12" w:space="0" w:color="808080"/>
              <w:left w:val="nil"/>
              <w:bottom w:val="nil"/>
              <w:right w:val="nil"/>
            </w:tcBorders>
            <w:shd w:val="clear" w:color="auto" w:fill="F2F2F2"/>
            <w:vAlign w:val="bottom"/>
            <w:hideMark/>
          </w:tcPr>
          <w:p w14:paraId="0883E3AC" w14:textId="77777777" w:rsidR="00514BB2" w:rsidRPr="00514BB2" w:rsidRDefault="00514BB2" w:rsidP="00514BB2">
            <w:pPr>
              <w:spacing w:after="0" w:line="240" w:lineRule="exact"/>
              <w:jc w:val="right"/>
              <w:rPr>
                <w:rFonts w:ascii="Montserrat" w:hAnsi="Montserrat"/>
                <w:sz w:val="15"/>
                <w:szCs w:val="15"/>
              </w:rPr>
            </w:pPr>
            <w:r w:rsidRPr="00514BB2">
              <w:rPr>
                <w:rFonts w:ascii="Montserrat" w:eastAsia="Times New Roman" w:hAnsi="Montserrat"/>
                <w:color w:val="000000"/>
                <w:kern w:val="2"/>
                <w:sz w:val="15"/>
                <w:szCs w:val="15"/>
                <w:lang w:eastAsia="es-MX"/>
              </w:rPr>
              <w:t xml:space="preserve">              10,027,889</w:t>
            </w:r>
          </w:p>
        </w:tc>
        <w:tc>
          <w:tcPr>
            <w:tcW w:w="0" w:type="auto"/>
            <w:tcBorders>
              <w:top w:val="double" w:sz="12" w:space="0" w:color="808080"/>
              <w:left w:val="nil"/>
              <w:bottom w:val="nil"/>
              <w:right w:val="nil"/>
            </w:tcBorders>
            <w:shd w:val="clear" w:color="auto" w:fill="F2F2F2"/>
            <w:vAlign w:val="bottom"/>
            <w:hideMark/>
          </w:tcPr>
          <w:p w14:paraId="46C1FA2D" w14:textId="77777777" w:rsidR="00514BB2" w:rsidRPr="00514BB2" w:rsidRDefault="00514BB2" w:rsidP="00514BB2">
            <w:pPr>
              <w:spacing w:after="0" w:line="240" w:lineRule="exact"/>
              <w:jc w:val="right"/>
              <w:rPr>
                <w:rFonts w:ascii="Montserrat" w:hAnsi="Montserrat"/>
                <w:sz w:val="15"/>
                <w:szCs w:val="15"/>
              </w:rPr>
            </w:pPr>
            <w:r w:rsidRPr="00514BB2">
              <w:rPr>
                <w:rFonts w:ascii="Montserrat" w:eastAsia="Times New Roman" w:hAnsi="Montserrat"/>
                <w:color w:val="000000"/>
                <w:kern w:val="2"/>
                <w:sz w:val="15"/>
                <w:szCs w:val="15"/>
                <w:lang w:eastAsia="es-MX"/>
              </w:rPr>
              <w:t>439,155,819.0</w:t>
            </w:r>
          </w:p>
        </w:tc>
      </w:tr>
      <w:tr w:rsidR="00514BB2" w:rsidRPr="00514BB2" w14:paraId="5232D663" w14:textId="77777777" w:rsidTr="009A4968">
        <w:trPr>
          <w:trHeight w:val="232"/>
        </w:trPr>
        <w:tc>
          <w:tcPr>
            <w:tcW w:w="0" w:type="auto"/>
            <w:tcBorders>
              <w:top w:val="nil"/>
              <w:left w:val="nil"/>
              <w:bottom w:val="single" w:sz="12" w:space="0" w:color="808080"/>
              <w:right w:val="nil"/>
            </w:tcBorders>
            <w:shd w:val="clear" w:color="auto" w:fill="F2F2F2"/>
            <w:hideMark/>
          </w:tcPr>
          <w:p w14:paraId="245F3C93" w14:textId="77777777" w:rsidR="00514BB2" w:rsidRPr="00514BB2" w:rsidRDefault="00514BB2" w:rsidP="00514BB2">
            <w:pPr>
              <w:spacing w:after="0" w:line="240" w:lineRule="exact"/>
              <w:rPr>
                <w:rFonts w:ascii="Montserrat" w:hAnsi="Montserrat"/>
                <w:b/>
                <w:sz w:val="15"/>
                <w:szCs w:val="15"/>
              </w:rPr>
            </w:pPr>
            <w:r w:rsidRPr="00514BB2">
              <w:rPr>
                <w:rFonts w:ascii="Montserrat" w:hAnsi="Montserrat"/>
                <w:b/>
                <w:sz w:val="15"/>
                <w:szCs w:val="15"/>
              </w:rPr>
              <w:t xml:space="preserve">Total </w:t>
            </w:r>
          </w:p>
        </w:tc>
        <w:tc>
          <w:tcPr>
            <w:tcW w:w="0" w:type="auto"/>
            <w:tcBorders>
              <w:top w:val="nil"/>
              <w:left w:val="nil"/>
              <w:bottom w:val="single" w:sz="12" w:space="0" w:color="808080"/>
              <w:right w:val="nil"/>
            </w:tcBorders>
            <w:shd w:val="clear" w:color="auto" w:fill="F2F2F2"/>
            <w:hideMark/>
          </w:tcPr>
          <w:p w14:paraId="74A3A958" w14:textId="77777777" w:rsidR="00514BB2" w:rsidRPr="00514BB2" w:rsidRDefault="00514BB2" w:rsidP="00514BB2">
            <w:pPr>
              <w:spacing w:after="0" w:line="240" w:lineRule="exact"/>
              <w:jc w:val="right"/>
              <w:rPr>
                <w:rFonts w:ascii="Montserrat" w:hAnsi="Montserrat"/>
                <w:b/>
                <w:sz w:val="15"/>
                <w:szCs w:val="15"/>
              </w:rPr>
            </w:pPr>
            <w:r w:rsidRPr="00514BB2">
              <w:rPr>
                <w:rFonts w:ascii="Montserrat" w:eastAsia="Times New Roman" w:hAnsi="Montserrat"/>
                <w:b/>
                <w:color w:val="000000"/>
                <w:kern w:val="2"/>
                <w:sz w:val="15"/>
                <w:szCs w:val="15"/>
                <w:lang w:eastAsia="es-MX"/>
              </w:rPr>
              <w:t xml:space="preserve">             10,027,889</w:t>
            </w:r>
          </w:p>
        </w:tc>
        <w:tc>
          <w:tcPr>
            <w:tcW w:w="0" w:type="auto"/>
            <w:tcBorders>
              <w:top w:val="nil"/>
              <w:left w:val="nil"/>
              <w:bottom w:val="single" w:sz="12" w:space="0" w:color="808080"/>
              <w:right w:val="nil"/>
            </w:tcBorders>
            <w:shd w:val="clear" w:color="auto" w:fill="F2F2F2"/>
            <w:hideMark/>
          </w:tcPr>
          <w:p w14:paraId="45A47BEC" w14:textId="77777777" w:rsidR="00514BB2" w:rsidRPr="00514BB2" w:rsidRDefault="00514BB2" w:rsidP="00514BB2">
            <w:pPr>
              <w:spacing w:after="0" w:line="240" w:lineRule="exact"/>
              <w:jc w:val="right"/>
              <w:rPr>
                <w:rFonts w:ascii="Montserrat" w:hAnsi="Montserrat"/>
                <w:b/>
                <w:sz w:val="15"/>
                <w:szCs w:val="15"/>
              </w:rPr>
            </w:pPr>
            <w:r w:rsidRPr="00514BB2">
              <w:rPr>
                <w:rFonts w:ascii="Montserrat" w:eastAsia="Times New Roman" w:hAnsi="Montserrat"/>
                <w:b/>
                <w:color w:val="000000"/>
                <w:kern w:val="2"/>
                <w:sz w:val="15"/>
                <w:szCs w:val="15"/>
                <w:lang w:eastAsia="es-MX"/>
              </w:rPr>
              <w:t>439,155,819.0</w:t>
            </w:r>
          </w:p>
        </w:tc>
      </w:tr>
    </w:tbl>
    <w:p w14:paraId="03578303" w14:textId="77777777" w:rsidR="009A4968" w:rsidRPr="00514BB2" w:rsidRDefault="009A4968" w:rsidP="009A4968">
      <w:pPr>
        <w:pStyle w:val="TEXTONORMAL"/>
      </w:pPr>
    </w:p>
    <w:p w14:paraId="4F49C4E8" w14:textId="77777777" w:rsidR="009A4968" w:rsidRPr="00514BB2" w:rsidRDefault="009A4968" w:rsidP="009A4968">
      <w:pPr>
        <w:pStyle w:val="TEXTONORMAL"/>
      </w:pPr>
    </w:p>
    <w:p w14:paraId="5C13E8AC" w14:textId="77777777" w:rsidR="009A4968" w:rsidRPr="00514BB2" w:rsidRDefault="009A4968" w:rsidP="009A4968">
      <w:pPr>
        <w:pStyle w:val="TEXTONORMAL"/>
        <w:tabs>
          <w:tab w:val="left" w:pos="567"/>
          <w:tab w:val="left" w:pos="709"/>
        </w:tabs>
      </w:pPr>
    </w:p>
    <w:p w14:paraId="02D1FA03" w14:textId="77777777" w:rsidR="009A4968" w:rsidRPr="00514BB2" w:rsidRDefault="009A4968" w:rsidP="009A4968">
      <w:pPr>
        <w:pStyle w:val="TEXTONORMAL"/>
      </w:pPr>
    </w:p>
    <w:p w14:paraId="4C70EB4E" w14:textId="77777777" w:rsidR="009A4968" w:rsidRPr="009C4949" w:rsidRDefault="009A4968" w:rsidP="009A4968">
      <w:pPr>
        <w:pStyle w:val="TEXTONORMAL"/>
        <w:rPr>
          <w:highlight w:val="yellow"/>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49"/>
        <w:gridCol w:w="2033"/>
        <w:gridCol w:w="3857"/>
      </w:tblGrid>
      <w:tr w:rsidR="009A4968" w:rsidRPr="00514BB2" w14:paraId="186DA833" w14:textId="77777777" w:rsidTr="009A4968">
        <w:trPr>
          <w:trHeight w:val="46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22FFDB3E"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4C8AA414"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Cifras en  pesos</w:t>
            </w:r>
          </w:p>
          <w:p w14:paraId="7DC562D6"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Al 31 de diciembre de 2021</w:t>
            </w:r>
          </w:p>
        </w:tc>
      </w:tr>
      <w:tr w:rsidR="009A4968" w:rsidRPr="00514BB2" w14:paraId="112E4D19" w14:textId="77777777" w:rsidTr="009A4968">
        <w:trPr>
          <w:trHeight w:val="139"/>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41DA7B21" w14:textId="77777777" w:rsidR="009A4968" w:rsidRPr="00514BB2"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5B26937"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Inversión en 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587B6714" w14:textId="77777777" w:rsidR="009A4968" w:rsidRPr="00514BB2" w:rsidRDefault="009A4968" w:rsidP="009A4968">
            <w:pPr>
              <w:spacing w:after="0" w:line="240" w:lineRule="exact"/>
              <w:jc w:val="center"/>
              <w:rPr>
                <w:rFonts w:ascii="Montserrat" w:hAnsi="Montserrat"/>
                <w:b/>
                <w:color w:val="FFFFFF"/>
                <w:sz w:val="16"/>
                <w:szCs w:val="16"/>
              </w:rPr>
            </w:pPr>
            <w:r w:rsidRPr="00514BB2">
              <w:rPr>
                <w:rFonts w:ascii="Montserrat" w:hAnsi="Montserrat"/>
                <w:b/>
                <w:color w:val="FFFFFF"/>
                <w:sz w:val="16"/>
                <w:szCs w:val="16"/>
              </w:rPr>
              <w:t>Participación en los resultados del ejercicio</w:t>
            </w:r>
          </w:p>
        </w:tc>
      </w:tr>
      <w:tr w:rsidR="009A4968" w:rsidRPr="00514BB2" w14:paraId="78C5BA04" w14:textId="77777777" w:rsidTr="009A4968">
        <w:trPr>
          <w:trHeight w:val="232"/>
        </w:trPr>
        <w:tc>
          <w:tcPr>
            <w:tcW w:w="0" w:type="auto"/>
            <w:tcBorders>
              <w:top w:val="double" w:sz="12" w:space="0" w:color="808080"/>
              <w:left w:val="nil"/>
              <w:bottom w:val="nil"/>
              <w:right w:val="nil"/>
            </w:tcBorders>
            <w:shd w:val="clear" w:color="auto" w:fill="F2F2F2"/>
            <w:hideMark/>
          </w:tcPr>
          <w:p w14:paraId="385081F6" w14:textId="77777777" w:rsidR="009A4968" w:rsidRPr="00514BB2" w:rsidRDefault="009A4968" w:rsidP="009A4968">
            <w:pPr>
              <w:tabs>
                <w:tab w:val="right" w:pos="4120"/>
              </w:tabs>
              <w:spacing w:after="0" w:line="240" w:lineRule="exact"/>
              <w:rPr>
                <w:rFonts w:ascii="Montserrat" w:hAnsi="Montserrat"/>
                <w:sz w:val="15"/>
                <w:szCs w:val="15"/>
              </w:rPr>
            </w:pPr>
            <w:r w:rsidRPr="00514BB2">
              <w:rPr>
                <w:rFonts w:ascii="Montserrat" w:hAnsi="Montserrat"/>
                <w:sz w:val="15"/>
                <w:szCs w:val="15"/>
              </w:rPr>
              <w:t xml:space="preserve">Afore XXI Banorte </w:t>
            </w:r>
          </w:p>
        </w:tc>
        <w:tc>
          <w:tcPr>
            <w:tcW w:w="0" w:type="auto"/>
            <w:tcBorders>
              <w:top w:val="double" w:sz="12" w:space="0" w:color="808080"/>
              <w:left w:val="nil"/>
              <w:bottom w:val="nil"/>
              <w:right w:val="nil"/>
            </w:tcBorders>
            <w:shd w:val="clear" w:color="auto" w:fill="F2F2F2"/>
            <w:vAlign w:val="bottom"/>
            <w:hideMark/>
          </w:tcPr>
          <w:p w14:paraId="039697F5" w14:textId="77777777" w:rsidR="009A4968" w:rsidRPr="00514BB2" w:rsidRDefault="009A4968" w:rsidP="009A4968">
            <w:pPr>
              <w:spacing w:after="0" w:line="240" w:lineRule="exact"/>
              <w:jc w:val="right"/>
              <w:rPr>
                <w:rFonts w:ascii="Montserrat" w:hAnsi="Montserrat"/>
                <w:sz w:val="15"/>
                <w:szCs w:val="15"/>
              </w:rPr>
            </w:pPr>
            <w:r w:rsidRPr="00514BB2">
              <w:rPr>
                <w:rFonts w:ascii="Montserrat" w:eastAsia="Times New Roman" w:hAnsi="Montserrat"/>
                <w:color w:val="000000"/>
                <w:kern w:val="2"/>
                <w:sz w:val="15"/>
                <w:szCs w:val="15"/>
                <w:lang w:eastAsia="es-MX"/>
              </w:rPr>
              <w:t xml:space="preserve">              10,027,889</w:t>
            </w:r>
          </w:p>
        </w:tc>
        <w:tc>
          <w:tcPr>
            <w:tcW w:w="0" w:type="auto"/>
            <w:tcBorders>
              <w:top w:val="double" w:sz="12" w:space="0" w:color="808080"/>
              <w:left w:val="nil"/>
              <w:bottom w:val="nil"/>
              <w:right w:val="nil"/>
            </w:tcBorders>
            <w:shd w:val="clear" w:color="auto" w:fill="F2F2F2"/>
            <w:vAlign w:val="bottom"/>
            <w:hideMark/>
          </w:tcPr>
          <w:p w14:paraId="43504076" w14:textId="77777777" w:rsidR="009A4968" w:rsidRPr="00514BB2" w:rsidRDefault="009A4968" w:rsidP="009A4968">
            <w:pPr>
              <w:spacing w:after="0" w:line="240" w:lineRule="exact"/>
              <w:jc w:val="right"/>
              <w:rPr>
                <w:rFonts w:ascii="Montserrat" w:hAnsi="Montserrat"/>
                <w:sz w:val="15"/>
                <w:szCs w:val="15"/>
              </w:rPr>
            </w:pPr>
            <w:r w:rsidRPr="00514BB2">
              <w:rPr>
                <w:rFonts w:ascii="Montserrat" w:eastAsia="Times New Roman" w:hAnsi="Montserrat"/>
                <w:color w:val="000000"/>
                <w:kern w:val="2"/>
                <w:sz w:val="15"/>
                <w:szCs w:val="15"/>
                <w:lang w:eastAsia="es-MX"/>
              </w:rPr>
              <w:t>1,947,540,219.</w:t>
            </w:r>
            <w:r w:rsidR="00B77D3C" w:rsidRPr="00514BB2">
              <w:rPr>
                <w:rFonts w:ascii="Montserrat" w:eastAsia="Times New Roman" w:hAnsi="Montserrat"/>
                <w:color w:val="000000"/>
                <w:kern w:val="2"/>
                <w:sz w:val="15"/>
                <w:szCs w:val="15"/>
                <w:lang w:eastAsia="es-MX"/>
              </w:rPr>
              <w:t>5</w:t>
            </w:r>
          </w:p>
        </w:tc>
      </w:tr>
      <w:tr w:rsidR="009A4968" w:rsidRPr="00514BB2" w14:paraId="0015ECEE" w14:textId="77777777" w:rsidTr="009A4968">
        <w:trPr>
          <w:trHeight w:val="232"/>
        </w:trPr>
        <w:tc>
          <w:tcPr>
            <w:tcW w:w="0" w:type="auto"/>
            <w:tcBorders>
              <w:top w:val="nil"/>
              <w:left w:val="nil"/>
              <w:bottom w:val="single" w:sz="12" w:space="0" w:color="808080"/>
              <w:right w:val="nil"/>
            </w:tcBorders>
            <w:shd w:val="clear" w:color="auto" w:fill="F2F2F2"/>
            <w:hideMark/>
          </w:tcPr>
          <w:p w14:paraId="547E32C6" w14:textId="77777777" w:rsidR="009A4968" w:rsidRPr="00514BB2" w:rsidRDefault="009A4968" w:rsidP="009A4968">
            <w:pPr>
              <w:spacing w:after="0" w:line="240" w:lineRule="exact"/>
              <w:rPr>
                <w:rFonts w:ascii="Montserrat" w:hAnsi="Montserrat"/>
                <w:b/>
                <w:sz w:val="15"/>
                <w:szCs w:val="15"/>
              </w:rPr>
            </w:pPr>
            <w:r w:rsidRPr="00514BB2">
              <w:rPr>
                <w:rFonts w:ascii="Montserrat" w:hAnsi="Montserrat"/>
                <w:b/>
                <w:sz w:val="15"/>
                <w:szCs w:val="15"/>
              </w:rPr>
              <w:t xml:space="preserve">Total </w:t>
            </w:r>
          </w:p>
        </w:tc>
        <w:tc>
          <w:tcPr>
            <w:tcW w:w="0" w:type="auto"/>
            <w:tcBorders>
              <w:top w:val="nil"/>
              <w:left w:val="nil"/>
              <w:bottom w:val="single" w:sz="12" w:space="0" w:color="808080"/>
              <w:right w:val="nil"/>
            </w:tcBorders>
            <w:shd w:val="clear" w:color="auto" w:fill="F2F2F2"/>
            <w:hideMark/>
          </w:tcPr>
          <w:p w14:paraId="086EB192" w14:textId="77777777" w:rsidR="009A4968" w:rsidRPr="00514BB2" w:rsidRDefault="009A4968" w:rsidP="009A4968">
            <w:pPr>
              <w:spacing w:after="0" w:line="240" w:lineRule="exact"/>
              <w:jc w:val="right"/>
              <w:rPr>
                <w:rFonts w:ascii="Montserrat" w:hAnsi="Montserrat"/>
                <w:b/>
                <w:sz w:val="15"/>
                <w:szCs w:val="15"/>
              </w:rPr>
            </w:pPr>
            <w:r w:rsidRPr="00514BB2">
              <w:rPr>
                <w:rFonts w:ascii="Montserrat" w:eastAsia="Times New Roman" w:hAnsi="Montserrat"/>
                <w:b/>
                <w:color w:val="000000"/>
                <w:kern w:val="2"/>
                <w:sz w:val="15"/>
                <w:szCs w:val="15"/>
                <w:lang w:eastAsia="es-MX"/>
              </w:rPr>
              <w:t xml:space="preserve">             10,027,889</w:t>
            </w:r>
          </w:p>
        </w:tc>
        <w:tc>
          <w:tcPr>
            <w:tcW w:w="0" w:type="auto"/>
            <w:tcBorders>
              <w:top w:val="nil"/>
              <w:left w:val="nil"/>
              <w:bottom w:val="single" w:sz="12" w:space="0" w:color="808080"/>
              <w:right w:val="nil"/>
            </w:tcBorders>
            <w:shd w:val="clear" w:color="auto" w:fill="F2F2F2"/>
            <w:hideMark/>
          </w:tcPr>
          <w:p w14:paraId="199EE723" w14:textId="77777777" w:rsidR="009A4968" w:rsidRPr="00514BB2" w:rsidRDefault="009A4968" w:rsidP="009A4968">
            <w:pPr>
              <w:spacing w:after="0" w:line="240" w:lineRule="exact"/>
              <w:jc w:val="right"/>
              <w:rPr>
                <w:rFonts w:ascii="Montserrat" w:hAnsi="Montserrat"/>
                <w:b/>
                <w:sz w:val="15"/>
                <w:szCs w:val="15"/>
              </w:rPr>
            </w:pPr>
            <w:r w:rsidRPr="00514BB2">
              <w:rPr>
                <w:rFonts w:ascii="Montserrat" w:eastAsia="Times New Roman" w:hAnsi="Montserrat"/>
                <w:b/>
                <w:color w:val="000000"/>
                <w:kern w:val="2"/>
                <w:sz w:val="15"/>
                <w:szCs w:val="15"/>
                <w:lang w:eastAsia="es-MX"/>
              </w:rPr>
              <w:t>1,947,540,219.</w:t>
            </w:r>
            <w:r w:rsidR="00B77D3C" w:rsidRPr="00514BB2">
              <w:rPr>
                <w:rFonts w:ascii="Montserrat" w:eastAsia="Times New Roman" w:hAnsi="Montserrat"/>
                <w:b/>
                <w:color w:val="000000"/>
                <w:kern w:val="2"/>
                <w:sz w:val="15"/>
                <w:szCs w:val="15"/>
                <w:lang w:eastAsia="es-MX"/>
              </w:rPr>
              <w:t>5</w:t>
            </w:r>
          </w:p>
        </w:tc>
      </w:tr>
    </w:tbl>
    <w:p w14:paraId="642F1750" w14:textId="77777777" w:rsidR="009A4968" w:rsidRPr="00514BB2" w:rsidRDefault="009A4968" w:rsidP="009A4968">
      <w:pPr>
        <w:pStyle w:val="TEXTONORMAL"/>
      </w:pPr>
    </w:p>
    <w:p w14:paraId="7D9E4262" w14:textId="77777777" w:rsidR="009A4968" w:rsidRPr="00514BB2" w:rsidRDefault="009A4968" w:rsidP="009A4968">
      <w:pPr>
        <w:pStyle w:val="TEXTONORMAL"/>
      </w:pPr>
    </w:p>
    <w:p w14:paraId="3B65ADC7" w14:textId="77777777" w:rsidR="009A4968" w:rsidRPr="00514BB2" w:rsidRDefault="009A4968" w:rsidP="009A4968">
      <w:pPr>
        <w:pStyle w:val="TEXTONORMAL"/>
        <w:tabs>
          <w:tab w:val="left" w:pos="567"/>
          <w:tab w:val="left" w:pos="709"/>
        </w:tabs>
      </w:pPr>
    </w:p>
    <w:p w14:paraId="46C86EA7" w14:textId="77777777" w:rsidR="009A4968" w:rsidRPr="00514BB2" w:rsidRDefault="009A4968" w:rsidP="009A4968">
      <w:pPr>
        <w:pStyle w:val="TEXTONORMAL"/>
      </w:pPr>
    </w:p>
    <w:p w14:paraId="1249E1D3" w14:textId="77777777" w:rsidR="009A4968" w:rsidRPr="00514BB2" w:rsidRDefault="009A4968" w:rsidP="009A4968">
      <w:pPr>
        <w:pStyle w:val="TEXTONORMAL"/>
      </w:pPr>
    </w:p>
    <w:p w14:paraId="3769175F" w14:textId="77777777" w:rsidR="00C76418" w:rsidRDefault="00C76418" w:rsidP="00C76418">
      <w:pPr>
        <w:pStyle w:val="TEXTONORMAL"/>
      </w:pPr>
      <w:r w:rsidRPr="00BE115F">
        <w:t xml:space="preserve">Al </w:t>
      </w:r>
      <w:r>
        <w:t xml:space="preserve">30 de septiembre de 2022 </w:t>
      </w:r>
      <w:r w:rsidRPr="00BE115F">
        <w:t>y</w:t>
      </w:r>
      <w:r>
        <w:t xml:space="preserve"> al </w:t>
      </w:r>
      <w:r w:rsidRPr="00BE115F">
        <w:t>31 de diciembre de 20</w:t>
      </w:r>
      <w:r>
        <w:t>21</w:t>
      </w:r>
      <w:r w:rsidRPr="00B06CFA">
        <w:rPr>
          <w:lang w:val="es-MX"/>
        </w:rPr>
        <w:t>,</w:t>
      </w:r>
      <w:r w:rsidRPr="00466563">
        <w:t xml:space="preserve"> la inversión en acciones se compone de la participación que el Instituto mantiene en el capital de la Afore XXI Banorte, </w:t>
      </w:r>
      <w:r w:rsidRPr="00C76418">
        <w:t>correspondiente a 10,027,889 acciones</w:t>
      </w:r>
      <w:r w:rsidRPr="00E15818">
        <w:t xml:space="preserve"> y 10,027,889 acciones respectivamente, con valor nominal de mil pesos cada una, cuya principal</w:t>
      </w:r>
      <w:r w:rsidRPr="00466563">
        <w:t xml:space="preserve"> actividad es la de administrar las cuentas de ahorro para el retiro. </w:t>
      </w:r>
    </w:p>
    <w:p w14:paraId="55B2686F" w14:textId="4AE524F1" w:rsidR="009A4968" w:rsidRDefault="009A4968" w:rsidP="009A4968">
      <w:pPr>
        <w:pStyle w:val="TEXTONORMAL"/>
        <w:rPr>
          <w:highlight w:val="yellow"/>
        </w:rPr>
      </w:pPr>
    </w:p>
    <w:p w14:paraId="53C71594" w14:textId="77777777" w:rsidR="005B1145" w:rsidRDefault="005B1145" w:rsidP="009A4968">
      <w:pPr>
        <w:pStyle w:val="TEXTONORMAL"/>
        <w:rPr>
          <w:highlight w:val="yellow"/>
        </w:rPr>
      </w:pPr>
    </w:p>
    <w:p w14:paraId="385D4AC2" w14:textId="77777777" w:rsidR="00A461CA" w:rsidRPr="009C4949" w:rsidRDefault="00A461CA" w:rsidP="009A4968">
      <w:pPr>
        <w:pStyle w:val="TEXTONORMAL"/>
        <w:rPr>
          <w:highlight w:val="yellow"/>
        </w:rPr>
      </w:pPr>
    </w:p>
    <w:p w14:paraId="6E09C58C" w14:textId="77777777" w:rsidR="009A4968" w:rsidRPr="009C4949" w:rsidRDefault="009A4968" w:rsidP="009A4968">
      <w:pPr>
        <w:pStyle w:val="TEXTONORMAL"/>
        <w:rPr>
          <w:highlight w:val="yellow"/>
        </w:rPr>
      </w:pPr>
    </w:p>
    <w:p w14:paraId="07EC7A3C" w14:textId="77777777" w:rsidR="009A4968" w:rsidRPr="00F740EB" w:rsidRDefault="009A4968" w:rsidP="009A4968">
      <w:pPr>
        <w:pStyle w:val="TEXTONORMAL"/>
      </w:pPr>
      <w:r w:rsidRPr="00F740EB">
        <w:lastRenderedPageBreak/>
        <w:t>A continuación, se presenta la integración de las acciones en Afore XXI Banorte, S.A. de C.V. por clase y serie:</w:t>
      </w:r>
    </w:p>
    <w:p w14:paraId="1619F257" w14:textId="77777777" w:rsidR="009A4968" w:rsidRPr="009C4949" w:rsidRDefault="009A4968" w:rsidP="009A4968">
      <w:pPr>
        <w:pStyle w:val="TEXTONORMAL"/>
        <w:rPr>
          <w:highlight w:val="yellow"/>
        </w:rPr>
      </w:pPr>
    </w:p>
    <w:tbl>
      <w:tblPr>
        <w:tblpPr w:leftFromText="141" w:rightFromText="141" w:vertAnchor="text" w:tblpXSpec="center" w:tblpY="-43"/>
        <w:tblOverlap w:val="never"/>
        <w:tblW w:w="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600"/>
        <w:gridCol w:w="832"/>
        <w:gridCol w:w="980"/>
        <w:gridCol w:w="844"/>
        <w:gridCol w:w="1731"/>
      </w:tblGrid>
      <w:tr w:rsidR="009A4968" w:rsidRPr="0021602B" w14:paraId="28912E38" w14:textId="77777777" w:rsidTr="00A461CA">
        <w:trPr>
          <w:trHeight w:val="281"/>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7C72C353"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hideMark/>
          </w:tcPr>
          <w:p w14:paraId="59BC518B" w14:textId="77777777" w:rsidR="009A4968" w:rsidRPr="0021602B" w:rsidRDefault="0021602B" w:rsidP="009A4968">
            <w:pPr>
              <w:spacing w:after="0" w:line="240" w:lineRule="exact"/>
              <w:jc w:val="center"/>
              <w:rPr>
                <w:rFonts w:ascii="Montserrat" w:hAnsi="Montserrat"/>
                <w:b/>
                <w:color w:val="FFFFFF"/>
                <w:sz w:val="16"/>
                <w:szCs w:val="16"/>
              </w:rPr>
            </w:pPr>
            <w:r>
              <w:rPr>
                <w:rFonts w:ascii="Montserrat" w:hAnsi="Montserrat"/>
                <w:b/>
                <w:color w:val="FFFFFF"/>
                <w:sz w:val="16"/>
                <w:szCs w:val="16"/>
              </w:rPr>
              <w:t>Septiembre</w:t>
            </w:r>
            <w:r w:rsidR="009A4968" w:rsidRPr="0021602B">
              <w:rPr>
                <w:rFonts w:ascii="Montserrat" w:hAnsi="Montserrat"/>
                <w:b/>
                <w:color w:val="FFFFFF"/>
                <w:sz w:val="16"/>
                <w:szCs w:val="16"/>
              </w:rPr>
              <w:t xml:space="preserve"> 2022</w:t>
            </w:r>
          </w:p>
        </w:tc>
      </w:tr>
      <w:tr w:rsidR="009A4968" w:rsidRPr="0021602B" w14:paraId="6C4FBA91" w14:textId="77777777" w:rsidTr="00A461CA">
        <w:trPr>
          <w:trHeight w:val="168"/>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64A6E352" w14:textId="77777777" w:rsidR="009A4968" w:rsidRPr="0021602B"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716BBDD7"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 xml:space="preserve">Clase I </w:t>
            </w: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4D5EE760"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Clase II</w:t>
            </w:r>
          </w:p>
        </w:tc>
        <w:tc>
          <w:tcPr>
            <w:tcW w:w="0" w:type="auto"/>
            <w:tcBorders>
              <w:top w:val="single" w:sz="12" w:space="0" w:color="FFFFFF"/>
              <w:left w:val="single" w:sz="12" w:space="0" w:color="FFFFFF"/>
              <w:bottom w:val="nil"/>
              <w:right w:val="single" w:sz="12" w:space="0" w:color="FFFFFF"/>
            </w:tcBorders>
            <w:shd w:val="clear" w:color="auto" w:fill="D4C19C"/>
            <w:hideMark/>
          </w:tcPr>
          <w:p w14:paraId="4CDF3AE5"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Clase II</w:t>
            </w:r>
          </w:p>
        </w:tc>
        <w:tc>
          <w:tcPr>
            <w:tcW w:w="0" w:type="auto"/>
            <w:vMerge w:val="restart"/>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AE3480C"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Total de acciones</w:t>
            </w:r>
          </w:p>
        </w:tc>
      </w:tr>
      <w:tr w:rsidR="009A4968" w:rsidRPr="0021602B" w14:paraId="6469F2C2" w14:textId="77777777" w:rsidTr="00A461CA">
        <w:trPr>
          <w:trHeight w:val="24"/>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49B52E15" w14:textId="77777777" w:rsidR="009A4968" w:rsidRPr="0021602B" w:rsidRDefault="009A4968" w:rsidP="009A4968">
            <w:pPr>
              <w:spacing w:after="0" w:line="240" w:lineRule="auto"/>
              <w:rPr>
                <w:rFonts w:ascii="Montserrat" w:hAnsi="Montserrat"/>
                <w:b/>
                <w:color w:val="FFFFFF"/>
                <w:sz w:val="16"/>
                <w:szCs w:val="16"/>
              </w:rPr>
            </w:pPr>
          </w:p>
        </w:tc>
        <w:tc>
          <w:tcPr>
            <w:tcW w:w="0" w:type="auto"/>
            <w:tcBorders>
              <w:top w:val="nil"/>
              <w:left w:val="single" w:sz="12" w:space="0" w:color="FFFFFF"/>
              <w:bottom w:val="double" w:sz="12" w:space="0" w:color="808080"/>
              <w:right w:val="single" w:sz="12" w:space="0" w:color="FFFFFF"/>
            </w:tcBorders>
            <w:shd w:val="clear" w:color="auto" w:fill="D4C19C"/>
            <w:vAlign w:val="center"/>
            <w:hideMark/>
          </w:tcPr>
          <w:p w14:paraId="46B5BA90"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44C30579"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08B5C0A9"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B</w:t>
            </w:r>
          </w:p>
        </w:tc>
        <w:tc>
          <w:tcPr>
            <w:tcW w:w="0" w:type="auto"/>
            <w:vMerge/>
            <w:tcBorders>
              <w:top w:val="single" w:sz="12" w:space="0" w:color="FFFFFF"/>
              <w:left w:val="single" w:sz="12" w:space="0" w:color="FFFFFF"/>
              <w:bottom w:val="double" w:sz="12" w:space="0" w:color="808080"/>
              <w:right w:val="single" w:sz="12" w:space="0" w:color="FFFFFF"/>
            </w:tcBorders>
            <w:shd w:val="clear" w:color="auto" w:fill="F2F2F2"/>
            <w:vAlign w:val="center"/>
            <w:hideMark/>
          </w:tcPr>
          <w:p w14:paraId="3FACD4BB" w14:textId="77777777" w:rsidR="009A4968" w:rsidRPr="0021602B" w:rsidRDefault="009A4968" w:rsidP="009A4968">
            <w:pPr>
              <w:spacing w:after="0" w:line="240" w:lineRule="auto"/>
              <w:rPr>
                <w:rFonts w:ascii="Montserrat" w:hAnsi="Montserrat"/>
                <w:b/>
                <w:color w:val="FFFFFF"/>
                <w:sz w:val="16"/>
                <w:szCs w:val="16"/>
              </w:rPr>
            </w:pPr>
          </w:p>
        </w:tc>
      </w:tr>
      <w:tr w:rsidR="009A4968" w:rsidRPr="0021602B" w14:paraId="494F4579" w14:textId="77777777" w:rsidTr="00A461CA">
        <w:trPr>
          <w:trHeight w:val="281"/>
        </w:trPr>
        <w:tc>
          <w:tcPr>
            <w:tcW w:w="0" w:type="auto"/>
            <w:tcBorders>
              <w:top w:val="double" w:sz="12" w:space="0" w:color="808080"/>
              <w:left w:val="nil"/>
              <w:bottom w:val="nil"/>
              <w:right w:val="nil"/>
            </w:tcBorders>
            <w:shd w:val="clear" w:color="auto" w:fill="F2F2F2"/>
            <w:hideMark/>
          </w:tcPr>
          <w:p w14:paraId="4F92DABC" w14:textId="77777777" w:rsidR="009A4968" w:rsidRPr="0021602B" w:rsidRDefault="009A4968" w:rsidP="009A4968">
            <w:pPr>
              <w:tabs>
                <w:tab w:val="right" w:pos="4120"/>
              </w:tabs>
              <w:spacing w:after="0" w:line="240" w:lineRule="exact"/>
              <w:rPr>
                <w:rFonts w:ascii="Montserrat" w:hAnsi="Montserrat"/>
                <w:sz w:val="15"/>
                <w:szCs w:val="15"/>
              </w:rPr>
            </w:pPr>
            <w:r w:rsidRPr="0021602B">
              <w:rPr>
                <w:rFonts w:ascii="Montserrat" w:hAnsi="Montserrat"/>
                <w:sz w:val="15"/>
                <w:szCs w:val="15"/>
              </w:rPr>
              <w:t>Afore XXI Banorte</w:t>
            </w:r>
          </w:p>
        </w:tc>
        <w:tc>
          <w:tcPr>
            <w:tcW w:w="0" w:type="auto"/>
            <w:tcBorders>
              <w:top w:val="double" w:sz="12" w:space="0" w:color="808080"/>
              <w:left w:val="nil"/>
              <w:bottom w:val="nil"/>
              <w:right w:val="nil"/>
            </w:tcBorders>
            <w:shd w:val="clear" w:color="auto" w:fill="F2F2F2"/>
            <w:vAlign w:val="bottom"/>
            <w:hideMark/>
          </w:tcPr>
          <w:p w14:paraId="4FDE4B77"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12,500</w:t>
            </w:r>
          </w:p>
        </w:tc>
        <w:tc>
          <w:tcPr>
            <w:tcW w:w="0" w:type="auto"/>
            <w:tcBorders>
              <w:top w:val="double" w:sz="12" w:space="0" w:color="808080"/>
              <w:left w:val="nil"/>
              <w:bottom w:val="nil"/>
              <w:right w:val="nil"/>
            </w:tcBorders>
            <w:shd w:val="clear" w:color="auto" w:fill="F2F2F2"/>
            <w:hideMark/>
          </w:tcPr>
          <w:p w14:paraId="1E020706"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10,015,139</w:t>
            </w:r>
          </w:p>
        </w:tc>
        <w:tc>
          <w:tcPr>
            <w:tcW w:w="0" w:type="auto"/>
            <w:tcBorders>
              <w:top w:val="double" w:sz="12" w:space="0" w:color="808080"/>
              <w:left w:val="nil"/>
              <w:bottom w:val="nil"/>
              <w:right w:val="nil"/>
            </w:tcBorders>
            <w:shd w:val="clear" w:color="auto" w:fill="F2F2F2"/>
            <w:hideMark/>
          </w:tcPr>
          <w:p w14:paraId="4ED42F25"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250</w:t>
            </w:r>
          </w:p>
        </w:tc>
        <w:tc>
          <w:tcPr>
            <w:tcW w:w="0" w:type="auto"/>
            <w:tcBorders>
              <w:top w:val="double" w:sz="12" w:space="0" w:color="808080"/>
              <w:left w:val="nil"/>
              <w:bottom w:val="nil"/>
              <w:right w:val="nil"/>
            </w:tcBorders>
            <w:shd w:val="clear" w:color="auto" w:fill="F2F2F2"/>
            <w:vAlign w:val="bottom"/>
            <w:hideMark/>
          </w:tcPr>
          <w:p w14:paraId="3D218099"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10,027,889</w:t>
            </w:r>
          </w:p>
        </w:tc>
      </w:tr>
      <w:tr w:rsidR="009A4968" w:rsidRPr="0021602B" w14:paraId="08D32BEF" w14:textId="77777777" w:rsidTr="00A461CA">
        <w:trPr>
          <w:trHeight w:val="97"/>
        </w:trPr>
        <w:tc>
          <w:tcPr>
            <w:tcW w:w="0" w:type="auto"/>
            <w:tcBorders>
              <w:top w:val="nil"/>
              <w:left w:val="nil"/>
              <w:bottom w:val="single" w:sz="12" w:space="0" w:color="808080"/>
              <w:right w:val="nil"/>
            </w:tcBorders>
            <w:shd w:val="clear" w:color="auto" w:fill="F2F2F2"/>
            <w:hideMark/>
          </w:tcPr>
          <w:p w14:paraId="01290F46" w14:textId="77777777" w:rsidR="009A4968" w:rsidRPr="0021602B" w:rsidRDefault="009A4968" w:rsidP="009A4968">
            <w:pPr>
              <w:spacing w:after="0" w:line="240" w:lineRule="exact"/>
              <w:rPr>
                <w:rFonts w:ascii="Montserrat" w:hAnsi="Montserrat"/>
                <w:b/>
                <w:sz w:val="15"/>
                <w:szCs w:val="15"/>
              </w:rPr>
            </w:pPr>
            <w:r w:rsidRPr="0021602B">
              <w:rPr>
                <w:rFonts w:ascii="Montserrat" w:hAnsi="Montserrat"/>
                <w:b/>
                <w:sz w:val="15"/>
                <w:szCs w:val="15"/>
              </w:rPr>
              <w:t>Total</w:t>
            </w:r>
          </w:p>
        </w:tc>
        <w:tc>
          <w:tcPr>
            <w:tcW w:w="0" w:type="auto"/>
            <w:tcBorders>
              <w:top w:val="nil"/>
              <w:left w:val="nil"/>
              <w:bottom w:val="single" w:sz="12" w:space="0" w:color="808080"/>
              <w:right w:val="nil"/>
            </w:tcBorders>
            <w:shd w:val="clear" w:color="auto" w:fill="F2F2F2"/>
            <w:vAlign w:val="bottom"/>
            <w:hideMark/>
          </w:tcPr>
          <w:p w14:paraId="1F3B9B84"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12,500</w:t>
            </w:r>
          </w:p>
        </w:tc>
        <w:tc>
          <w:tcPr>
            <w:tcW w:w="0" w:type="auto"/>
            <w:tcBorders>
              <w:top w:val="nil"/>
              <w:left w:val="nil"/>
              <w:bottom w:val="single" w:sz="12" w:space="0" w:color="808080"/>
              <w:right w:val="nil"/>
            </w:tcBorders>
            <w:shd w:val="clear" w:color="auto" w:fill="F2F2F2"/>
            <w:vAlign w:val="bottom"/>
            <w:hideMark/>
          </w:tcPr>
          <w:p w14:paraId="4CC9DB70"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10,015,139</w:t>
            </w:r>
          </w:p>
        </w:tc>
        <w:tc>
          <w:tcPr>
            <w:tcW w:w="0" w:type="auto"/>
            <w:tcBorders>
              <w:top w:val="nil"/>
              <w:left w:val="nil"/>
              <w:bottom w:val="single" w:sz="12" w:space="0" w:color="808080"/>
              <w:right w:val="nil"/>
            </w:tcBorders>
            <w:shd w:val="clear" w:color="auto" w:fill="F2F2F2"/>
            <w:vAlign w:val="bottom"/>
            <w:hideMark/>
          </w:tcPr>
          <w:p w14:paraId="76F43DC6"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250</w:t>
            </w:r>
          </w:p>
        </w:tc>
        <w:tc>
          <w:tcPr>
            <w:tcW w:w="0" w:type="auto"/>
            <w:tcBorders>
              <w:top w:val="nil"/>
              <w:left w:val="nil"/>
              <w:bottom w:val="single" w:sz="12" w:space="0" w:color="808080"/>
              <w:right w:val="nil"/>
            </w:tcBorders>
            <w:shd w:val="clear" w:color="auto" w:fill="F2F2F2"/>
            <w:vAlign w:val="bottom"/>
            <w:hideMark/>
          </w:tcPr>
          <w:p w14:paraId="12F2D49C"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10,027,889</w:t>
            </w:r>
          </w:p>
        </w:tc>
      </w:tr>
    </w:tbl>
    <w:p w14:paraId="28491956" w14:textId="77777777" w:rsidR="009A4968" w:rsidRPr="0021602B" w:rsidRDefault="009A4968" w:rsidP="009A4968">
      <w:pPr>
        <w:pStyle w:val="TEXTONORMAL"/>
      </w:pPr>
    </w:p>
    <w:p w14:paraId="175DC3D9" w14:textId="77777777" w:rsidR="009A4968" w:rsidRPr="0021602B" w:rsidRDefault="009A4968" w:rsidP="009A4968">
      <w:pPr>
        <w:pStyle w:val="TEXTONORMAL"/>
        <w:ind w:left="998"/>
      </w:pPr>
    </w:p>
    <w:p w14:paraId="032F19E0" w14:textId="77777777" w:rsidR="009A4968" w:rsidRPr="0021602B" w:rsidRDefault="009A4968" w:rsidP="009A4968">
      <w:pPr>
        <w:pStyle w:val="TEXTONORMAL"/>
      </w:pPr>
    </w:p>
    <w:p w14:paraId="41006923" w14:textId="77777777" w:rsidR="009A4968" w:rsidRPr="0021602B" w:rsidRDefault="009A4968" w:rsidP="009A4968">
      <w:pPr>
        <w:pStyle w:val="TEXTONORMAL"/>
      </w:pPr>
    </w:p>
    <w:p w14:paraId="47CE377D" w14:textId="77777777" w:rsidR="009A4968" w:rsidRPr="0021602B" w:rsidRDefault="009A4968" w:rsidP="009A4968">
      <w:pPr>
        <w:pStyle w:val="TEXTONORMAL"/>
      </w:pPr>
    </w:p>
    <w:tbl>
      <w:tblPr>
        <w:tblpPr w:leftFromText="141" w:rightFromText="141" w:vertAnchor="text" w:tblpXSpec="center" w:tblpY="-43"/>
        <w:tblOverlap w:val="never"/>
        <w:tblW w:w="6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614"/>
        <w:gridCol w:w="839"/>
        <w:gridCol w:w="989"/>
        <w:gridCol w:w="852"/>
        <w:gridCol w:w="1747"/>
      </w:tblGrid>
      <w:tr w:rsidR="009A4968" w:rsidRPr="0021602B" w14:paraId="74A0FB61" w14:textId="77777777" w:rsidTr="00A461CA">
        <w:trPr>
          <w:trHeight w:val="276"/>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4D3383BC"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hideMark/>
          </w:tcPr>
          <w:p w14:paraId="4C51AE85"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Diciembre 2021</w:t>
            </w:r>
          </w:p>
        </w:tc>
      </w:tr>
      <w:tr w:rsidR="009A4968" w:rsidRPr="0021602B" w14:paraId="05756BCF" w14:textId="77777777" w:rsidTr="00A461CA">
        <w:trPr>
          <w:trHeight w:val="178"/>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5ED8BAFD" w14:textId="77777777" w:rsidR="009A4968" w:rsidRPr="0021602B"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3B8A5467"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 xml:space="preserve">Clase I </w:t>
            </w: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44D4BAC0"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Clase II</w:t>
            </w:r>
          </w:p>
        </w:tc>
        <w:tc>
          <w:tcPr>
            <w:tcW w:w="0" w:type="auto"/>
            <w:tcBorders>
              <w:top w:val="single" w:sz="12" w:space="0" w:color="FFFFFF"/>
              <w:left w:val="single" w:sz="12" w:space="0" w:color="FFFFFF"/>
              <w:bottom w:val="nil"/>
              <w:right w:val="single" w:sz="12" w:space="0" w:color="FFFFFF"/>
            </w:tcBorders>
            <w:shd w:val="clear" w:color="auto" w:fill="D4C19C"/>
            <w:hideMark/>
          </w:tcPr>
          <w:p w14:paraId="300D2E98"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Clase II</w:t>
            </w:r>
          </w:p>
        </w:tc>
        <w:tc>
          <w:tcPr>
            <w:tcW w:w="0" w:type="auto"/>
            <w:vMerge w:val="restart"/>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04C144B4"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Total de acciones</w:t>
            </w:r>
          </w:p>
        </w:tc>
      </w:tr>
      <w:tr w:rsidR="009A4968" w:rsidRPr="0021602B" w14:paraId="0029747B" w14:textId="77777777" w:rsidTr="00A461CA">
        <w:trPr>
          <w:trHeight w:val="178"/>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04B5A371" w14:textId="77777777" w:rsidR="009A4968" w:rsidRPr="0021602B" w:rsidRDefault="009A4968" w:rsidP="009A4968">
            <w:pPr>
              <w:spacing w:after="0" w:line="240" w:lineRule="auto"/>
              <w:rPr>
                <w:rFonts w:ascii="Montserrat" w:hAnsi="Montserrat"/>
                <w:b/>
                <w:color w:val="FFFFFF"/>
                <w:sz w:val="16"/>
                <w:szCs w:val="16"/>
              </w:rPr>
            </w:pPr>
          </w:p>
        </w:tc>
        <w:tc>
          <w:tcPr>
            <w:tcW w:w="0" w:type="auto"/>
            <w:tcBorders>
              <w:top w:val="nil"/>
              <w:left w:val="single" w:sz="12" w:space="0" w:color="FFFFFF"/>
              <w:bottom w:val="double" w:sz="12" w:space="0" w:color="808080"/>
              <w:right w:val="single" w:sz="12" w:space="0" w:color="FFFFFF"/>
            </w:tcBorders>
            <w:shd w:val="clear" w:color="auto" w:fill="D4C19C"/>
            <w:vAlign w:val="center"/>
            <w:hideMark/>
          </w:tcPr>
          <w:p w14:paraId="474BE537"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45A54D8A"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719C89D0" w14:textId="77777777" w:rsidR="009A4968" w:rsidRPr="0021602B" w:rsidRDefault="009A4968" w:rsidP="009A4968">
            <w:pPr>
              <w:spacing w:after="0" w:line="240" w:lineRule="exact"/>
              <w:jc w:val="center"/>
              <w:rPr>
                <w:rFonts w:ascii="Montserrat" w:hAnsi="Montserrat"/>
                <w:b/>
                <w:color w:val="FFFFFF"/>
                <w:sz w:val="16"/>
                <w:szCs w:val="16"/>
              </w:rPr>
            </w:pPr>
            <w:r w:rsidRPr="0021602B">
              <w:rPr>
                <w:rFonts w:ascii="Montserrat" w:hAnsi="Montserrat"/>
                <w:b/>
                <w:color w:val="FFFFFF"/>
                <w:sz w:val="16"/>
                <w:szCs w:val="16"/>
              </w:rPr>
              <w:t>Serie B</w:t>
            </w:r>
          </w:p>
        </w:tc>
        <w:tc>
          <w:tcPr>
            <w:tcW w:w="0" w:type="auto"/>
            <w:vMerge/>
            <w:tcBorders>
              <w:top w:val="single" w:sz="12" w:space="0" w:color="FFFFFF"/>
              <w:left w:val="single" w:sz="12" w:space="0" w:color="FFFFFF"/>
              <w:bottom w:val="double" w:sz="12" w:space="0" w:color="808080"/>
              <w:right w:val="single" w:sz="12" w:space="0" w:color="FFFFFF"/>
            </w:tcBorders>
            <w:shd w:val="clear" w:color="auto" w:fill="F2F2F2"/>
            <w:vAlign w:val="center"/>
            <w:hideMark/>
          </w:tcPr>
          <w:p w14:paraId="1D5FD2DF" w14:textId="77777777" w:rsidR="009A4968" w:rsidRPr="0021602B" w:rsidRDefault="009A4968" w:rsidP="009A4968">
            <w:pPr>
              <w:spacing w:after="0" w:line="240" w:lineRule="auto"/>
              <w:rPr>
                <w:rFonts w:ascii="Montserrat" w:hAnsi="Montserrat"/>
                <w:b/>
                <w:color w:val="FFFFFF"/>
                <w:sz w:val="16"/>
                <w:szCs w:val="16"/>
              </w:rPr>
            </w:pPr>
          </w:p>
        </w:tc>
      </w:tr>
      <w:tr w:rsidR="009A4968" w:rsidRPr="0021602B" w14:paraId="1FE90C19" w14:textId="77777777" w:rsidTr="00A461CA">
        <w:trPr>
          <w:trHeight w:val="300"/>
        </w:trPr>
        <w:tc>
          <w:tcPr>
            <w:tcW w:w="0" w:type="auto"/>
            <w:tcBorders>
              <w:top w:val="double" w:sz="12" w:space="0" w:color="808080"/>
              <w:left w:val="nil"/>
              <w:bottom w:val="nil"/>
              <w:right w:val="nil"/>
            </w:tcBorders>
            <w:shd w:val="clear" w:color="auto" w:fill="F2F2F2"/>
            <w:hideMark/>
          </w:tcPr>
          <w:p w14:paraId="51664064" w14:textId="77777777" w:rsidR="009A4968" w:rsidRPr="0021602B" w:rsidRDefault="009A4968" w:rsidP="009A4968">
            <w:pPr>
              <w:tabs>
                <w:tab w:val="right" w:pos="4120"/>
              </w:tabs>
              <w:spacing w:after="0" w:line="240" w:lineRule="exact"/>
              <w:rPr>
                <w:rFonts w:ascii="Montserrat" w:hAnsi="Montserrat"/>
                <w:sz w:val="15"/>
                <w:szCs w:val="15"/>
              </w:rPr>
            </w:pPr>
            <w:r w:rsidRPr="0021602B">
              <w:rPr>
                <w:rFonts w:ascii="Montserrat" w:hAnsi="Montserrat"/>
                <w:sz w:val="15"/>
                <w:szCs w:val="15"/>
              </w:rPr>
              <w:t>Afore XXI Banorte</w:t>
            </w:r>
          </w:p>
        </w:tc>
        <w:tc>
          <w:tcPr>
            <w:tcW w:w="0" w:type="auto"/>
            <w:tcBorders>
              <w:top w:val="double" w:sz="12" w:space="0" w:color="808080"/>
              <w:left w:val="nil"/>
              <w:bottom w:val="nil"/>
              <w:right w:val="nil"/>
            </w:tcBorders>
            <w:shd w:val="clear" w:color="auto" w:fill="F2F2F2"/>
            <w:vAlign w:val="bottom"/>
            <w:hideMark/>
          </w:tcPr>
          <w:p w14:paraId="5AC10E86"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12,500</w:t>
            </w:r>
          </w:p>
        </w:tc>
        <w:tc>
          <w:tcPr>
            <w:tcW w:w="0" w:type="auto"/>
            <w:tcBorders>
              <w:top w:val="double" w:sz="12" w:space="0" w:color="808080"/>
              <w:left w:val="nil"/>
              <w:bottom w:val="nil"/>
              <w:right w:val="nil"/>
            </w:tcBorders>
            <w:shd w:val="clear" w:color="auto" w:fill="F2F2F2"/>
            <w:hideMark/>
          </w:tcPr>
          <w:p w14:paraId="3B571CDF"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10,015,139</w:t>
            </w:r>
          </w:p>
        </w:tc>
        <w:tc>
          <w:tcPr>
            <w:tcW w:w="0" w:type="auto"/>
            <w:tcBorders>
              <w:top w:val="double" w:sz="12" w:space="0" w:color="808080"/>
              <w:left w:val="nil"/>
              <w:bottom w:val="nil"/>
              <w:right w:val="nil"/>
            </w:tcBorders>
            <w:shd w:val="clear" w:color="auto" w:fill="F2F2F2"/>
            <w:hideMark/>
          </w:tcPr>
          <w:p w14:paraId="17FB69F6"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250</w:t>
            </w:r>
          </w:p>
        </w:tc>
        <w:tc>
          <w:tcPr>
            <w:tcW w:w="0" w:type="auto"/>
            <w:tcBorders>
              <w:top w:val="double" w:sz="12" w:space="0" w:color="808080"/>
              <w:left w:val="nil"/>
              <w:bottom w:val="nil"/>
              <w:right w:val="nil"/>
            </w:tcBorders>
            <w:shd w:val="clear" w:color="auto" w:fill="F2F2F2"/>
            <w:vAlign w:val="bottom"/>
            <w:hideMark/>
          </w:tcPr>
          <w:p w14:paraId="231CB8C4" w14:textId="77777777" w:rsidR="009A4968" w:rsidRPr="0021602B" w:rsidRDefault="009A4968" w:rsidP="009A4968">
            <w:pPr>
              <w:spacing w:after="0" w:line="240" w:lineRule="exact"/>
              <w:jc w:val="right"/>
              <w:rPr>
                <w:rFonts w:ascii="Montserrat" w:hAnsi="Montserrat"/>
                <w:sz w:val="15"/>
                <w:szCs w:val="15"/>
              </w:rPr>
            </w:pPr>
            <w:r w:rsidRPr="0021602B">
              <w:rPr>
                <w:rFonts w:ascii="Montserrat" w:hAnsi="Montserrat"/>
                <w:sz w:val="15"/>
                <w:szCs w:val="15"/>
              </w:rPr>
              <w:t>10,027,889</w:t>
            </w:r>
          </w:p>
        </w:tc>
      </w:tr>
      <w:tr w:rsidR="009A4968" w:rsidRPr="0021602B" w14:paraId="6758EC0E" w14:textId="77777777" w:rsidTr="00A461CA">
        <w:trPr>
          <w:trHeight w:val="300"/>
        </w:trPr>
        <w:tc>
          <w:tcPr>
            <w:tcW w:w="0" w:type="auto"/>
            <w:tcBorders>
              <w:top w:val="nil"/>
              <w:left w:val="nil"/>
              <w:bottom w:val="single" w:sz="12" w:space="0" w:color="808080"/>
              <w:right w:val="nil"/>
            </w:tcBorders>
            <w:shd w:val="clear" w:color="auto" w:fill="F2F2F2"/>
            <w:hideMark/>
          </w:tcPr>
          <w:p w14:paraId="4A81ED34" w14:textId="77777777" w:rsidR="009A4968" w:rsidRPr="0021602B" w:rsidRDefault="009A4968" w:rsidP="009A4968">
            <w:pPr>
              <w:spacing w:after="0" w:line="240" w:lineRule="exact"/>
              <w:rPr>
                <w:rFonts w:ascii="Montserrat" w:hAnsi="Montserrat"/>
                <w:b/>
                <w:sz w:val="15"/>
                <w:szCs w:val="15"/>
              </w:rPr>
            </w:pPr>
            <w:r w:rsidRPr="0021602B">
              <w:rPr>
                <w:rFonts w:ascii="Montserrat" w:hAnsi="Montserrat"/>
                <w:b/>
                <w:sz w:val="15"/>
                <w:szCs w:val="15"/>
              </w:rPr>
              <w:t>Total</w:t>
            </w:r>
          </w:p>
        </w:tc>
        <w:tc>
          <w:tcPr>
            <w:tcW w:w="0" w:type="auto"/>
            <w:tcBorders>
              <w:top w:val="nil"/>
              <w:left w:val="nil"/>
              <w:bottom w:val="single" w:sz="12" w:space="0" w:color="808080"/>
              <w:right w:val="nil"/>
            </w:tcBorders>
            <w:shd w:val="clear" w:color="auto" w:fill="F2F2F2"/>
            <w:vAlign w:val="bottom"/>
            <w:hideMark/>
          </w:tcPr>
          <w:p w14:paraId="7575C0B9"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12,500</w:t>
            </w:r>
          </w:p>
        </w:tc>
        <w:tc>
          <w:tcPr>
            <w:tcW w:w="0" w:type="auto"/>
            <w:tcBorders>
              <w:top w:val="nil"/>
              <w:left w:val="nil"/>
              <w:bottom w:val="single" w:sz="12" w:space="0" w:color="808080"/>
              <w:right w:val="nil"/>
            </w:tcBorders>
            <w:shd w:val="clear" w:color="auto" w:fill="F2F2F2"/>
            <w:vAlign w:val="bottom"/>
            <w:hideMark/>
          </w:tcPr>
          <w:p w14:paraId="416F7B6F"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10,015,139</w:t>
            </w:r>
          </w:p>
        </w:tc>
        <w:tc>
          <w:tcPr>
            <w:tcW w:w="0" w:type="auto"/>
            <w:tcBorders>
              <w:top w:val="nil"/>
              <w:left w:val="nil"/>
              <w:bottom w:val="single" w:sz="12" w:space="0" w:color="808080"/>
              <w:right w:val="nil"/>
            </w:tcBorders>
            <w:shd w:val="clear" w:color="auto" w:fill="F2F2F2"/>
            <w:vAlign w:val="bottom"/>
            <w:hideMark/>
          </w:tcPr>
          <w:p w14:paraId="6CDF1F79"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250</w:t>
            </w:r>
          </w:p>
        </w:tc>
        <w:tc>
          <w:tcPr>
            <w:tcW w:w="0" w:type="auto"/>
            <w:tcBorders>
              <w:top w:val="nil"/>
              <w:left w:val="nil"/>
              <w:bottom w:val="single" w:sz="12" w:space="0" w:color="808080"/>
              <w:right w:val="nil"/>
            </w:tcBorders>
            <w:shd w:val="clear" w:color="auto" w:fill="F2F2F2"/>
            <w:vAlign w:val="bottom"/>
            <w:hideMark/>
          </w:tcPr>
          <w:p w14:paraId="46C7501B" w14:textId="77777777" w:rsidR="009A4968" w:rsidRPr="0021602B" w:rsidRDefault="009A4968" w:rsidP="009A4968">
            <w:pPr>
              <w:spacing w:after="0" w:line="240" w:lineRule="exact"/>
              <w:jc w:val="right"/>
              <w:rPr>
                <w:rFonts w:ascii="Montserrat" w:hAnsi="Montserrat"/>
                <w:b/>
                <w:sz w:val="15"/>
                <w:szCs w:val="15"/>
              </w:rPr>
            </w:pPr>
            <w:r w:rsidRPr="0021602B">
              <w:rPr>
                <w:rFonts w:ascii="Montserrat" w:hAnsi="Montserrat"/>
                <w:b/>
                <w:sz w:val="15"/>
                <w:szCs w:val="15"/>
              </w:rPr>
              <w:t>10,027,889</w:t>
            </w:r>
          </w:p>
        </w:tc>
      </w:tr>
    </w:tbl>
    <w:p w14:paraId="5964C387" w14:textId="77777777" w:rsidR="009A4968" w:rsidRPr="0021602B" w:rsidRDefault="009A4968" w:rsidP="009A4968">
      <w:pPr>
        <w:pStyle w:val="TEXTONORMAL"/>
      </w:pPr>
    </w:p>
    <w:p w14:paraId="09AE0835" w14:textId="77777777" w:rsidR="009A4968" w:rsidRPr="0021602B" w:rsidRDefault="009A4968" w:rsidP="009A4968">
      <w:pPr>
        <w:pStyle w:val="TEXTONORMAL"/>
      </w:pPr>
    </w:p>
    <w:p w14:paraId="747D9DE3" w14:textId="77777777" w:rsidR="009A4968" w:rsidRPr="0021602B" w:rsidRDefault="009A4968" w:rsidP="009A4968">
      <w:pPr>
        <w:pStyle w:val="TEXTONORMAL"/>
      </w:pPr>
    </w:p>
    <w:p w14:paraId="121EF5FE" w14:textId="77777777" w:rsidR="009A4968" w:rsidRPr="0021602B" w:rsidRDefault="009A4968" w:rsidP="009A4968">
      <w:pPr>
        <w:pStyle w:val="TEXTONORMAL"/>
        <w:tabs>
          <w:tab w:val="left" w:pos="284"/>
        </w:tabs>
        <w:ind w:left="709"/>
      </w:pPr>
    </w:p>
    <w:p w14:paraId="48CFD3BC" w14:textId="77777777" w:rsidR="00B765C5" w:rsidRDefault="00B765C5" w:rsidP="00B765C5">
      <w:pPr>
        <w:pStyle w:val="TEXTONORMAL"/>
      </w:pPr>
    </w:p>
    <w:p w14:paraId="67FAB18E" w14:textId="77777777" w:rsidR="00A461CA" w:rsidRDefault="00A461CA" w:rsidP="00B765C5">
      <w:pPr>
        <w:pStyle w:val="TEXTONORMAL"/>
      </w:pPr>
    </w:p>
    <w:p w14:paraId="177A81C2" w14:textId="77777777" w:rsidR="00B765C5" w:rsidRDefault="00B765C5" w:rsidP="00B765C5">
      <w:pPr>
        <w:pStyle w:val="TEXTONORMAL"/>
      </w:pPr>
      <w:r w:rsidRPr="00B765C5">
        <w:t>La Asamblea General Ordinaria de Accionistas de Afore XXI Banorte, S.A. de C.V., acordó pagar dividendos a sus accionistas el día 31 de marzo de 2022 y de 2021 por 3,550,000,000.0 pesos y por 3,445,590,558.1 pesos, respectivamente. El Instituto recibió el equivalente al 50% el cual fue de 1,775,000,000.0 pesos y 1,722,795,279.0 pesos respectivamente.</w:t>
      </w:r>
    </w:p>
    <w:p w14:paraId="51D0BBE7" w14:textId="77777777" w:rsidR="009D5C48" w:rsidRDefault="009D5C48" w:rsidP="004B1F81">
      <w:pPr>
        <w:pStyle w:val="TEXTONORMAL"/>
      </w:pPr>
    </w:p>
    <w:p w14:paraId="4FC5713F" w14:textId="77777777" w:rsidR="009D5C48" w:rsidRDefault="009D5C48" w:rsidP="003F2A12">
      <w:pPr>
        <w:pStyle w:val="TEXTONORMAL"/>
        <w:numPr>
          <w:ilvl w:val="0"/>
          <w:numId w:val="21"/>
        </w:numPr>
        <w:ind w:left="714" w:hanging="357"/>
        <w:rPr>
          <w:lang w:val="es-MX"/>
        </w:rPr>
      </w:pPr>
      <w:r>
        <w:rPr>
          <w:b/>
          <w:lang w:val="es-MX"/>
        </w:rPr>
        <w:t>1.7.c</w:t>
      </w:r>
      <w:r w:rsidRPr="00A50EDF">
        <w:rPr>
          <w:b/>
          <w:lang w:val="es-MX"/>
        </w:rPr>
        <w:t>)</w:t>
      </w:r>
      <w:r>
        <w:rPr>
          <w:lang w:val="es-MX"/>
        </w:rPr>
        <w:t xml:space="preserve"> </w:t>
      </w:r>
      <w:r w:rsidR="008A0519">
        <w:t xml:space="preserve">Al 30 de </w:t>
      </w:r>
      <w:r w:rsidR="00466511">
        <w:t>septiembre</w:t>
      </w:r>
      <w:r w:rsidR="00301116">
        <w:t xml:space="preserve"> de 2022</w:t>
      </w:r>
      <w:r w:rsidR="00301116" w:rsidRPr="000B2CE4">
        <w:t xml:space="preserve"> y</w:t>
      </w:r>
      <w:r w:rsidR="00301116">
        <w:t xml:space="preserve"> al</w:t>
      </w:r>
      <w:r w:rsidR="00301116" w:rsidRPr="000B2CE4">
        <w:t xml:space="preserve"> </w:t>
      </w:r>
      <w:r w:rsidR="00301116">
        <w:t>31 de diciembre de 2021</w:t>
      </w:r>
      <w:r>
        <w:rPr>
          <w:lang w:val="es-MX"/>
        </w:rPr>
        <w:t>, los F</w:t>
      </w:r>
      <w:r w:rsidRPr="007902E9">
        <w:rPr>
          <w:lang w:val="es-MX"/>
        </w:rPr>
        <w:t xml:space="preserve">ideicomisos, </w:t>
      </w:r>
      <w:r>
        <w:rPr>
          <w:lang w:val="es-MX"/>
        </w:rPr>
        <w:t>Mandatos y C</w:t>
      </w:r>
      <w:r w:rsidRPr="007902E9">
        <w:rPr>
          <w:lang w:val="es-MX"/>
        </w:rPr>
        <w:t xml:space="preserve">ontratos </w:t>
      </w:r>
      <w:r>
        <w:rPr>
          <w:lang w:val="es-MX"/>
        </w:rPr>
        <w:t>A</w:t>
      </w:r>
      <w:r w:rsidRPr="007902E9">
        <w:rPr>
          <w:lang w:val="es-MX"/>
        </w:rPr>
        <w:t>nálogos se integran de la siguiente manera:</w:t>
      </w:r>
      <w:r>
        <w:rPr>
          <w:lang w:val="es-MX"/>
        </w:rPr>
        <w:t xml:space="preserve"> </w:t>
      </w:r>
    </w:p>
    <w:p w14:paraId="6496600A" w14:textId="77777777" w:rsidR="00A461CA" w:rsidRDefault="00A461CA" w:rsidP="00A461CA">
      <w:pPr>
        <w:pStyle w:val="TEXTONORMAL"/>
        <w:ind w:left="714"/>
        <w:rPr>
          <w:lang w:val="es-MX"/>
        </w:rPr>
      </w:pPr>
    </w:p>
    <w:tbl>
      <w:tblPr>
        <w:tblW w:w="10348" w:type="dxa"/>
        <w:jc w:val="center"/>
        <w:tblCellMar>
          <w:left w:w="70" w:type="dxa"/>
          <w:right w:w="70" w:type="dxa"/>
        </w:tblCellMar>
        <w:tblLook w:val="04A0" w:firstRow="1" w:lastRow="0" w:firstColumn="1" w:lastColumn="0" w:noHBand="0" w:noVBand="1"/>
      </w:tblPr>
      <w:tblGrid>
        <w:gridCol w:w="6036"/>
        <w:gridCol w:w="2168"/>
        <w:gridCol w:w="2144"/>
      </w:tblGrid>
      <w:tr w:rsidR="002936DB" w:rsidRPr="002936DB" w14:paraId="360B08BE" w14:textId="77777777" w:rsidTr="002936DB">
        <w:trPr>
          <w:trHeight w:val="270"/>
          <w:jc w:val="center"/>
        </w:trPr>
        <w:tc>
          <w:tcPr>
            <w:tcW w:w="603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7EF5DE2" w14:textId="77777777" w:rsidR="002936DB" w:rsidRPr="002936DB" w:rsidRDefault="002936DB" w:rsidP="002936DB">
            <w:pPr>
              <w:spacing w:after="0" w:line="240" w:lineRule="auto"/>
              <w:jc w:val="center"/>
              <w:rPr>
                <w:rFonts w:ascii="Montserrat" w:eastAsia="Times New Roman" w:hAnsi="Montserrat"/>
                <w:b/>
                <w:bCs/>
                <w:color w:val="FFFFFF"/>
                <w:sz w:val="16"/>
                <w:szCs w:val="16"/>
                <w:lang w:val="es-MX" w:eastAsia="es-MX"/>
              </w:rPr>
            </w:pPr>
            <w:r w:rsidRPr="002936DB">
              <w:rPr>
                <w:rFonts w:ascii="Montserrat" w:eastAsia="Times New Roman" w:hAnsi="Montserrat"/>
                <w:b/>
                <w:bCs/>
                <w:color w:val="FFFFFF"/>
                <w:sz w:val="16"/>
                <w:szCs w:val="16"/>
                <w:lang w:val="es-MX" w:eastAsia="es-MX"/>
              </w:rPr>
              <w:t>Concepto</w:t>
            </w:r>
          </w:p>
        </w:tc>
        <w:tc>
          <w:tcPr>
            <w:tcW w:w="431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4F1A9C7" w14:textId="77777777" w:rsidR="002936DB" w:rsidRPr="002936DB" w:rsidRDefault="002936DB" w:rsidP="002936DB">
            <w:pPr>
              <w:spacing w:after="0" w:line="240" w:lineRule="auto"/>
              <w:jc w:val="center"/>
              <w:rPr>
                <w:rFonts w:ascii="Montserrat" w:eastAsia="Times New Roman" w:hAnsi="Montserrat"/>
                <w:b/>
                <w:bCs/>
                <w:color w:val="FFFFFF"/>
                <w:sz w:val="16"/>
                <w:szCs w:val="16"/>
                <w:lang w:val="es-MX" w:eastAsia="es-MX"/>
              </w:rPr>
            </w:pPr>
            <w:r w:rsidRPr="002936DB">
              <w:rPr>
                <w:rFonts w:ascii="Montserrat" w:eastAsia="Times New Roman" w:hAnsi="Montserrat"/>
                <w:b/>
                <w:bCs/>
                <w:color w:val="FFFFFF"/>
                <w:sz w:val="16"/>
                <w:szCs w:val="16"/>
                <w:lang w:val="es-MX" w:eastAsia="es-MX"/>
              </w:rPr>
              <w:t>Cifras en pesos</w:t>
            </w:r>
          </w:p>
        </w:tc>
      </w:tr>
      <w:tr w:rsidR="002936DB" w:rsidRPr="002936DB" w14:paraId="3223C021" w14:textId="77777777" w:rsidTr="002936DB">
        <w:trPr>
          <w:trHeight w:val="270"/>
          <w:jc w:val="center"/>
        </w:trPr>
        <w:tc>
          <w:tcPr>
            <w:tcW w:w="6036" w:type="dxa"/>
            <w:vMerge/>
            <w:tcBorders>
              <w:top w:val="single" w:sz="12" w:space="0" w:color="808080"/>
              <w:left w:val="single" w:sz="12" w:space="0" w:color="FFFFFF"/>
              <w:bottom w:val="double" w:sz="6" w:space="0" w:color="808080"/>
              <w:right w:val="single" w:sz="12" w:space="0" w:color="FFFFFF"/>
            </w:tcBorders>
            <w:vAlign w:val="center"/>
            <w:hideMark/>
          </w:tcPr>
          <w:p w14:paraId="605B2582" w14:textId="77777777" w:rsidR="002936DB" w:rsidRPr="002936DB" w:rsidRDefault="002936DB" w:rsidP="002936DB">
            <w:pPr>
              <w:spacing w:after="0" w:line="240" w:lineRule="auto"/>
              <w:rPr>
                <w:rFonts w:ascii="Montserrat" w:eastAsia="Times New Roman" w:hAnsi="Montserrat"/>
                <w:b/>
                <w:bCs/>
                <w:color w:val="FFFFFF"/>
                <w:sz w:val="16"/>
                <w:szCs w:val="16"/>
                <w:lang w:val="es-MX" w:eastAsia="es-MX"/>
              </w:rPr>
            </w:pPr>
          </w:p>
        </w:tc>
        <w:tc>
          <w:tcPr>
            <w:tcW w:w="2168" w:type="dxa"/>
            <w:tcBorders>
              <w:top w:val="nil"/>
              <w:left w:val="nil"/>
              <w:bottom w:val="double" w:sz="6" w:space="0" w:color="808080"/>
              <w:right w:val="single" w:sz="12" w:space="0" w:color="FFFFFF"/>
            </w:tcBorders>
            <w:shd w:val="clear" w:color="000000" w:fill="D4C19C"/>
            <w:vAlign w:val="center"/>
            <w:hideMark/>
          </w:tcPr>
          <w:p w14:paraId="23BAC6D1" w14:textId="77777777" w:rsidR="002936DB" w:rsidRPr="002936DB" w:rsidRDefault="002936DB" w:rsidP="002936DB">
            <w:pPr>
              <w:spacing w:after="0" w:line="240" w:lineRule="auto"/>
              <w:jc w:val="center"/>
              <w:rPr>
                <w:rFonts w:ascii="Montserrat" w:eastAsia="Times New Roman" w:hAnsi="Montserrat"/>
                <w:b/>
                <w:bCs/>
                <w:color w:val="FFFFFF"/>
                <w:sz w:val="16"/>
                <w:szCs w:val="16"/>
                <w:lang w:val="es-MX" w:eastAsia="es-MX"/>
              </w:rPr>
            </w:pPr>
            <w:r w:rsidRPr="002936DB">
              <w:rPr>
                <w:rFonts w:ascii="Montserrat" w:eastAsia="Times New Roman" w:hAnsi="Montserrat"/>
                <w:b/>
                <w:bCs/>
                <w:color w:val="FFFFFF"/>
                <w:sz w:val="16"/>
                <w:szCs w:val="16"/>
                <w:lang w:val="es-MX" w:eastAsia="es-MX"/>
              </w:rPr>
              <w:t>2022</w:t>
            </w:r>
          </w:p>
        </w:tc>
        <w:tc>
          <w:tcPr>
            <w:tcW w:w="2144" w:type="dxa"/>
            <w:tcBorders>
              <w:top w:val="nil"/>
              <w:left w:val="nil"/>
              <w:bottom w:val="double" w:sz="6" w:space="0" w:color="808080"/>
              <w:right w:val="single" w:sz="12" w:space="0" w:color="FFFFFF"/>
            </w:tcBorders>
            <w:shd w:val="clear" w:color="000000" w:fill="D4C19C"/>
            <w:vAlign w:val="center"/>
            <w:hideMark/>
          </w:tcPr>
          <w:p w14:paraId="4F6A0A8E" w14:textId="77777777" w:rsidR="002936DB" w:rsidRPr="002936DB" w:rsidRDefault="002936DB" w:rsidP="002936DB">
            <w:pPr>
              <w:spacing w:after="0" w:line="240" w:lineRule="auto"/>
              <w:jc w:val="center"/>
              <w:rPr>
                <w:rFonts w:ascii="Montserrat" w:eastAsia="Times New Roman" w:hAnsi="Montserrat"/>
                <w:b/>
                <w:bCs/>
                <w:color w:val="FFFFFF"/>
                <w:sz w:val="16"/>
                <w:szCs w:val="16"/>
                <w:lang w:val="es-MX" w:eastAsia="es-MX"/>
              </w:rPr>
            </w:pPr>
            <w:r w:rsidRPr="002936DB">
              <w:rPr>
                <w:rFonts w:ascii="Montserrat" w:eastAsia="Times New Roman" w:hAnsi="Montserrat"/>
                <w:b/>
                <w:bCs/>
                <w:color w:val="FFFFFF"/>
                <w:sz w:val="16"/>
                <w:szCs w:val="16"/>
                <w:lang w:val="es-MX" w:eastAsia="es-MX"/>
              </w:rPr>
              <w:t>2021</w:t>
            </w:r>
          </w:p>
        </w:tc>
      </w:tr>
      <w:tr w:rsidR="002936DB" w:rsidRPr="002936DB" w14:paraId="2BA2B174" w14:textId="77777777" w:rsidTr="002936DB">
        <w:trPr>
          <w:trHeight w:val="258"/>
          <w:jc w:val="center"/>
        </w:trPr>
        <w:tc>
          <w:tcPr>
            <w:tcW w:w="6036" w:type="dxa"/>
            <w:tcBorders>
              <w:top w:val="nil"/>
              <w:left w:val="nil"/>
              <w:bottom w:val="nil"/>
              <w:right w:val="nil"/>
            </w:tcBorders>
            <w:shd w:val="clear" w:color="000000" w:fill="F2F2F2"/>
            <w:vAlign w:val="center"/>
            <w:hideMark/>
          </w:tcPr>
          <w:p w14:paraId="208E83F6"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Fideicomiso de Beneficios Sociales</w:t>
            </w:r>
          </w:p>
        </w:tc>
        <w:tc>
          <w:tcPr>
            <w:tcW w:w="2168" w:type="dxa"/>
            <w:tcBorders>
              <w:top w:val="nil"/>
              <w:left w:val="nil"/>
              <w:bottom w:val="nil"/>
              <w:right w:val="nil"/>
            </w:tcBorders>
            <w:shd w:val="clear" w:color="000000" w:fill="F2F2F2"/>
            <w:vAlign w:val="center"/>
            <w:hideMark/>
          </w:tcPr>
          <w:p w14:paraId="16694345"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528,531,697.5</w:t>
            </w:r>
          </w:p>
        </w:tc>
        <w:tc>
          <w:tcPr>
            <w:tcW w:w="2144" w:type="dxa"/>
            <w:tcBorders>
              <w:top w:val="nil"/>
              <w:left w:val="nil"/>
              <w:bottom w:val="nil"/>
              <w:right w:val="nil"/>
            </w:tcBorders>
            <w:shd w:val="clear" w:color="000000" w:fill="F2F2F2"/>
            <w:vAlign w:val="center"/>
            <w:hideMark/>
          </w:tcPr>
          <w:p w14:paraId="5F466BCE"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528,531,697.5</w:t>
            </w:r>
          </w:p>
        </w:tc>
      </w:tr>
      <w:tr w:rsidR="002936DB" w:rsidRPr="002936DB" w14:paraId="175A24E0" w14:textId="77777777" w:rsidTr="002936DB">
        <w:trPr>
          <w:trHeight w:val="245"/>
          <w:jc w:val="center"/>
        </w:trPr>
        <w:tc>
          <w:tcPr>
            <w:tcW w:w="6036" w:type="dxa"/>
            <w:tcBorders>
              <w:top w:val="nil"/>
              <w:left w:val="nil"/>
              <w:bottom w:val="nil"/>
              <w:right w:val="nil"/>
            </w:tcBorders>
            <w:shd w:val="clear" w:color="000000" w:fill="F2F2F2"/>
            <w:vAlign w:val="center"/>
            <w:hideMark/>
          </w:tcPr>
          <w:p w14:paraId="1B7E6D09"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Fideicomiso para el Desarrollo del Deporte</w:t>
            </w:r>
          </w:p>
        </w:tc>
        <w:tc>
          <w:tcPr>
            <w:tcW w:w="2168" w:type="dxa"/>
            <w:tcBorders>
              <w:top w:val="nil"/>
              <w:left w:val="nil"/>
              <w:bottom w:val="nil"/>
              <w:right w:val="nil"/>
            </w:tcBorders>
            <w:shd w:val="clear" w:color="000000" w:fill="F2F2F2"/>
            <w:vAlign w:val="center"/>
            <w:hideMark/>
          </w:tcPr>
          <w:p w14:paraId="5C29A718"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82,039,097.5</w:t>
            </w:r>
          </w:p>
        </w:tc>
        <w:tc>
          <w:tcPr>
            <w:tcW w:w="2144" w:type="dxa"/>
            <w:tcBorders>
              <w:top w:val="nil"/>
              <w:left w:val="nil"/>
              <w:bottom w:val="nil"/>
              <w:right w:val="nil"/>
            </w:tcBorders>
            <w:shd w:val="clear" w:color="000000" w:fill="F2F2F2"/>
            <w:vAlign w:val="center"/>
            <w:hideMark/>
          </w:tcPr>
          <w:p w14:paraId="44FC1FBB"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69,093,351.9</w:t>
            </w:r>
          </w:p>
        </w:tc>
      </w:tr>
      <w:tr w:rsidR="002936DB" w:rsidRPr="002936DB" w14:paraId="7A42CA8C" w14:textId="77777777" w:rsidTr="002936DB">
        <w:trPr>
          <w:trHeight w:val="245"/>
          <w:jc w:val="center"/>
        </w:trPr>
        <w:tc>
          <w:tcPr>
            <w:tcW w:w="6036" w:type="dxa"/>
            <w:tcBorders>
              <w:top w:val="nil"/>
              <w:left w:val="nil"/>
              <w:bottom w:val="nil"/>
              <w:right w:val="nil"/>
            </w:tcBorders>
            <w:shd w:val="clear" w:color="000000" w:fill="F2F2F2"/>
            <w:vAlign w:val="center"/>
            <w:hideMark/>
          </w:tcPr>
          <w:p w14:paraId="784553FA"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Fondo para Ayudas Extraordinarias</w:t>
            </w:r>
          </w:p>
        </w:tc>
        <w:tc>
          <w:tcPr>
            <w:tcW w:w="2168" w:type="dxa"/>
            <w:tcBorders>
              <w:top w:val="nil"/>
              <w:left w:val="nil"/>
              <w:bottom w:val="nil"/>
              <w:right w:val="nil"/>
            </w:tcBorders>
            <w:shd w:val="clear" w:color="000000" w:fill="F2F2F2"/>
            <w:vAlign w:val="center"/>
            <w:hideMark/>
          </w:tcPr>
          <w:p w14:paraId="16B39D47"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90,972,062.3</w:t>
            </w:r>
          </w:p>
        </w:tc>
        <w:tc>
          <w:tcPr>
            <w:tcW w:w="2144" w:type="dxa"/>
            <w:tcBorders>
              <w:top w:val="nil"/>
              <w:left w:val="nil"/>
              <w:bottom w:val="nil"/>
              <w:right w:val="nil"/>
            </w:tcBorders>
            <w:shd w:val="clear" w:color="000000" w:fill="F2F2F2"/>
            <w:vAlign w:val="center"/>
            <w:hideMark/>
          </w:tcPr>
          <w:p w14:paraId="03A55F39"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72,710,706.7</w:t>
            </w:r>
          </w:p>
        </w:tc>
      </w:tr>
      <w:tr w:rsidR="002936DB" w:rsidRPr="002936DB" w14:paraId="1CC061F6" w14:textId="77777777" w:rsidTr="002936DB">
        <w:trPr>
          <w:trHeight w:val="245"/>
          <w:jc w:val="center"/>
        </w:trPr>
        <w:tc>
          <w:tcPr>
            <w:tcW w:w="6036" w:type="dxa"/>
            <w:tcBorders>
              <w:top w:val="nil"/>
              <w:left w:val="nil"/>
              <w:bottom w:val="nil"/>
              <w:right w:val="nil"/>
            </w:tcBorders>
            <w:shd w:val="clear" w:color="000000" w:fill="F2F2F2"/>
            <w:vAlign w:val="center"/>
            <w:hideMark/>
          </w:tcPr>
          <w:p w14:paraId="6F614994"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Fideicomiso de Administración de Teatros y Salas de Espectáculos IMSS</w:t>
            </w:r>
          </w:p>
        </w:tc>
        <w:tc>
          <w:tcPr>
            <w:tcW w:w="2168" w:type="dxa"/>
            <w:tcBorders>
              <w:top w:val="nil"/>
              <w:left w:val="nil"/>
              <w:bottom w:val="nil"/>
              <w:right w:val="nil"/>
            </w:tcBorders>
            <w:shd w:val="clear" w:color="000000" w:fill="F2F2F2"/>
            <w:vAlign w:val="center"/>
            <w:hideMark/>
          </w:tcPr>
          <w:p w14:paraId="0250A230"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67,900,791.6</w:t>
            </w:r>
          </w:p>
        </w:tc>
        <w:tc>
          <w:tcPr>
            <w:tcW w:w="2144" w:type="dxa"/>
            <w:tcBorders>
              <w:top w:val="nil"/>
              <w:left w:val="nil"/>
              <w:bottom w:val="nil"/>
              <w:right w:val="nil"/>
            </w:tcBorders>
            <w:shd w:val="clear" w:color="000000" w:fill="F2F2F2"/>
            <w:vAlign w:val="center"/>
            <w:hideMark/>
          </w:tcPr>
          <w:p w14:paraId="6A6AC2CF"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24,155,972.2</w:t>
            </w:r>
          </w:p>
        </w:tc>
      </w:tr>
      <w:tr w:rsidR="002936DB" w:rsidRPr="002936DB" w14:paraId="1CB85106" w14:textId="77777777" w:rsidTr="002936DB">
        <w:trPr>
          <w:trHeight w:val="245"/>
          <w:jc w:val="center"/>
        </w:trPr>
        <w:tc>
          <w:tcPr>
            <w:tcW w:w="6036" w:type="dxa"/>
            <w:tcBorders>
              <w:top w:val="nil"/>
              <w:left w:val="nil"/>
              <w:bottom w:val="nil"/>
              <w:right w:val="nil"/>
            </w:tcBorders>
            <w:shd w:val="clear" w:color="000000" w:fill="F2F2F2"/>
            <w:vAlign w:val="center"/>
            <w:hideMark/>
          </w:tcPr>
          <w:p w14:paraId="1B7ACDEC"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Fondo de Investigación en Salud</w:t>
            </w:r>
          </w:p>
        </w:tc>
        <w:tc>
          <w:tcPr>
            <w:tcW w:w="2168" w:type="dxa"/>
            <w:tcBorders>
              <w:top w:val="nil"/>
              <w:left w:val="nil"/>
              <w:bottom w:val="nil"/>
              <w:right w:val="nil"/>
            </w:tcBorders>
            <w:shd w:val="clear" w:color="000000" w:fill="F2F2F2"/>
            <w:vAlign w:val="center"/>
            <w:hideMark/>
          </w:tcPr>
          <w:p w14:paraId="513A8903"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864,143.3</w:t>
            </w:r>
          </w:p>
        </w:tc>
        <w:tc>
          <w:tcPr>
            <w:tcW w:w="2144" w:type="dxa"/>
            <w:tcBorders>
              <w:top w:val="nil"/>
              <w:left w:val="nil"/>
              <w:bottom w:val="nil"/>
              <w:right w:val="nil"/>
            </w:tcBorders>
            <w:shd w:val="clear" w:color="000000" w:fill="F2F2F2"/>
            <w:vAlign w:val="center"/>
            <w:hideMark/>
          </w:tcPr>
          <w:p w14:paraId="4DA70D5C"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864,143.3</w:t>
            </w:r>
          </w:p>
        </w:tc>
      </w:tr>
      <w:tr w:rsidR="002936DB" w:rsidRPr="002936DB" w14:paraId="4F98650C" w14:textId="77777777" w:rsidTr="002936DB">
        <w:trPr>
          <w:trHeight w:val="245"/>
          <w:jc w:val="center"/>
        </w:trPr>
        <w:tc>
          <w:tcPr>
            <w:tcW w:w="6036" w:type="dxa"/>
            <w:tcBorders>
              <w:top w:val="nil"/>
              <w:left w:val="nil"/>
              <w:bottom w:val="nil"/>
              <w:right w:val="nil"/>
            </w:tcBorders>
            <w:shd w:val="clear" w:color="000000" w:fill="F2F2F2"/>
            <w:vAlign w:val="center"/>
            <w:hideMark/>
          </w:tcPr>
          <w:p w14:paraId="66091B69" w14:textId="77777777" w:rsidR="002936DB" w:rsidRPr="002936DB" w:rsidRDefault="002936DB" w:rsidP="002936DB">
            <w:pPr>
              <w:spacing w:after="0" w:line="240" w:lineRule="auto"/>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Fideicomiso Irrevocable de Administración e Inversión Niña del Milenio</w:t>
            </w:r>
          </w:p>
        </w:tc>
        <w:tc>
          <w:tcPr>
            <w:tcW w:w="2168" w:type="dxa"/>
            <w:tcBorders>
              <w:top w:val="nil"/>
              <w:left w:val="nil"/>
              <w:bottom w:val="nil"/>
              <w:right w:val="nil"/>
            </w:tcBorders>
            <w:shd w:val="clear" w:color="000000" w:fill="F2F2F2"/>
            <w:vAlign w:val="center"/>
            <w:hideMark/>
          </w:tcPr>
          <w:p w14:paraId="066D68E2"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110,509.9</w:t>
            </w:r>
          </w:p>
        </w:tc>
        <w:tc>
          <w:tcPr>
            <w:tcW w:w="2144" w:type="dxa"/>
            <w:tcBorders>
              <w:top w:val="nil"/>
              <w:left w:val="nil"/>
              <w:bottom w:val="nil"/>
              <w:right w:val="nil"/>
            </w:tcBorders>
            <w:shd w:val="clear" w:color="000000" w:fill="F2F2F2"/>
            <w:vAlign w:val="center"/>
            <w:hideMark/>
          </w:tcPr>
          <w:p w14:paraId="2E5D627F" w14:textId="77777777" w:rsidR="002936DB" w:rsidRPr="002936DB" w:rsidRDefault="002936DB" w:rsidP="002936DB">
            <w:pPr>
              <w:spacing w:after="0" w:line="240" w:lineRule="auto"/>
              <w:jc w:val="right"/>
              <w:rPr>
                <w:rFonts w:ascii="Montserrat" w:eastAsia="Times New Roman" w:hAnsi="Montserrat"/>
                <w:color w:val="000000"/>
                <w:sz w:val="15"/>
                <w:szCs w:val="15"/>
                <w:lang w:val="es-MX" w:eastAsia="es-MX"/>
              </w:rPr>
            </w:pPr>
            <w:r w:rsidRPr="002936DB">
              <w:rPr>
                <w:rFonts w:ascii="Montserrat" w:eastAsia="Times New Roman" w:hAnsi="Montserrat"/>
                <w:color w:val="000000"/>
                <w:sz w:val="15"/>
                <w:szCs w:val="15"/>
                <w:lang w:val="es-MX" w:eastAsia="es-MX"/>
              </w:rPr>
              <w:t>107,068.9</w:t>
            </w:r>
          </w:p>
        </w:tc>
      </w:tr>
      <w:tr w:rsidR="002936DB" w:rsidRPr="002936DB" w14:paraId="75B1AD09" w14:textId="77777777" w:rsidTr="002936DB">
        <w:trPr>
          <w:trHeight w:val="258"/>
          <w:jc w:val="center"/>
        </w:trPr>
        <w:tc>
          <w:tcPr>
            <w:tcW w:w="6036" w:type="dxa"/>
            <w:tcBorders>
              <w:top w:val="nil"/>
              <w:left w:val="nil"/>
              <w:bottom w:val="single" w:sz="12" w:space="0" w:color="808080"/>
              <w:right w:val="nil"/>
            </w:tcBorders>
            <w:shd w:val="clear" w:color="000000" w:fill="F2F2F2"/>
            <w:vAlign w:val="center"/>
            <w:hideMark/>
          </w:tcPr>
          <w:p w14:paraId="24695F11" w14:textId="77777777" w:rsidR="002936DB" w:rsidRPr="002936DB" w:rsidRDefault="002936DB" w:rsidP="002936DB">
            <w:pPr>
              <w:spacing w:after="0" w:line="240" w:lineRule="auto"/>
              <w:rPr>
                <w:rFonts w:ascii="Montserrat" w:eastAsia="Times New Roman" w:hAnsi="Montserrat"/>
                <w:b/>
                <w:bCs/>
                <w:color w:val="000000"/>
                <w:sz w:val="15"/>
                <w:szCs w:val="15"/>
                <w:lang w:val="es-MX" w:eastAsia="es-MX"/>
              </w:rPr>
            </w:pPr>
            <w:r w:rsidRPr="002936DB">
              <w:rPr>
                <w:rFonts w:ascii="Montserrat" w:eastAsia="Times New Roman" w:hAnsi="Montserrat"/>
                <w:b/>
                <w:bCs/>
                <w:color w:val="000000"/>
                <w:sz w:val="15"/>
                <w:szCs w:val="15"/>
                <w:lang w:val="es-MX" w:eastAsia="es-MX"/>
              </w:rPr>
              <w:t>Total Fideicomisos</w:t>
            </w:r>
          </w:p>
        </w:tc>
        <w:tc>
          <w:tcPr>
            <w:tcW w:w="2168" w:type="dxa"/>
            <w:tcBorders>
              <w:top w:val="nil"/>
              <w:left w:val="nil"/>
              <w:bottom w:val="single" w:sz="12" w:space="0" w:color="808080"/>
              <w:right w:val="nil"/>
            </w:tcBorders>
            <w:shd w:val="clear" w:color="000000" w:fill="F2F2F2"/>
            <w:vAlign w:val="center"/>
            <w:hideMark/>
          </w:tcPr>
          <w:p w14:paraId="7970E39E" w14:textId="77777777" w:rsidR="002936DB" w:rsidRPr="002936DB" w:rsidRDefault="002936DB" w:rsidP="002936DB">
            <w:pPr>
              <w:spacing w:after="0" w:line="240" w:lineRule="auto"/>
              <w:jc w:val="right"/>
              <w:rPr>
                <w:rFonts w:ascii="Montserrat" w:eastAsia="Times New Roman" w:hAnsi="Montserrat"/>
                <w:b/>
                <w:bCs/>
                <w:color w:val="000000"/>
                <w:sz w:val="15"/>
                <w:szCs w:val="15"/>
                <w:lang w:val="es-MX" w:eastAsia="es-MX"/>
              </w:rPr>
            </w:pPr>
            <w:r w:rsidRPr="002936DB">
              <w:rPr>
                <w:rFonts w:ascii="Montserrat" w:eastAsia="Times New Roman" w:hAnsi="Montserrat"/>
                <w:b/>
                <w:bCs/>
                <w:color w:val="000000"/>
                <w:sz w:val="15"/>
                <w:szCs w:val="15"/>
                <w:lang w:val="es-MX" w:eastAsia="es-MX"/>
              </w:rPr>
              <w:t>770,418,302.1</w:t>
            </w:r>
          </w:p>
        </w:tc>
        <w:tc>
          <w:tcPr>
            <w:tcW w:w="2144" w:type="dxa"/>
            <w:tcBorders>
              <w:top w:val="nil"/>
              <w:left w:val="nil"/>
              <w:bottom w:val="single" w:sz="12" w:space="0" w:color="808080"/>
              <w:right w:val="nil"/>
            </w:tcBorders>
            <w:shd w:val="clear" w:color="000000" w:fill="F2F2F2"/>
            <w:vAlign w:val="center"/>
            <w:hideMark/>
          </w:tcPr>
          <w:p w14:paraId="7AD9196F" w14:textId="77777777" w:rsidR="002936DB" w:rsidRPr="002936DB" w:rsidRDefault="002936DB" w:rsidP="002936DB">
            <w:pPr>
              <w:spacing w:after="0" w:line="240" w:lineRule="auto"/>
              <w:jc w:val="right"/>
              <w:rPr>
                <w:rFonts w:ascii="Montserrat" w:eastAsia="Times New Roman" w:hAnsi="Montserrat"/>
                <w:b/>
                <w:bCs/>
                <w:color w:val="000000"/>
                <w:sz w:val="15"/>
                <w:szCs w:val="15"/>
                <w:lang w:val="es-MX" w:eastAsia="es-MX"/>
              </w:rPr>
            </w:pPr>
            <w:r w:rsidRPr="002936DB">
              <w:rPr>
                <w:rFonts w:ascii="Montserrat" w:eastAsia="Times New Roman" w:hAnsi="Montserrat"/>
                <w:b/>
                <w:bCs/>
                <w:color w:val="000000"/>
                <w:sz w:val="15"/>
                <w:szCs w:val="15"/>
                <w:lang w:val="es-MX" w:eastAsia="es-MX"/>
              </w:rPr>
              <w:t>695,462,940.5</w:t>
            </w:r>
          </w:p>
        </w:tc>
      </w:tr>
    </w:tbl>
    <w:p w14:paraId="3C4819E5" w14:textId="77777777" w:rsidR="002936DB" w:rsidRDefault="002936DB" w:rsidP="004000EC">
      <w:pPr>
        <w:pStyle w:val="TEXTONORMAL"/>
        <w:rPr>
          <w:lang w:val="es-MX"/>
        </w:rPr>
      </w:pPr>
    </w:p>
    <w:p w14:paraId="35164820" w14:textId="77777777" w:rsidR="009D5C48" w:rsidRDefault="009D5C48" w:rsidP="003F2A12">
      <w:pPr>
        <w:pStyle w:val="TEXTONORMAL"/>
        <w:numPr>
          <w:ilvl w:val="0"/>
          <w:numId w:val="22"/>
        </w:numPr>
        <w:ind w:left="998" w:hanging="284"/>
      </w:pPr>
      <w:r>
        <w:lastRenderedPageBreak/>
        <w:t>Fideicomiso de Beneficios Sociales (FIBESO), fue constituido el 29 de junio de 1990 y su objeto es proporcionar el servicio de velatorios para los derechohabientes y la población en general.</w:t>
      </w:r>
    </w:p>
    <w:p w14:paraId="32D9B69D" w14:textId="77777777" w:rsidR="009D5C48" w:rsidRDefault="009D5C48" w:rsidP="003F2A12">
      <w:pPr>
        <w:pStyle w:val="TEXTONORMAL"/>
        <w:numPr>
          <w:ilvl w:val="0"/>
          <w:numId w:val="22"/>
        </w:numPr>
        <w:ind w:left="998" w:hanging="284"/>
      </w:pPr>
      <w:r>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14:paraId="653F6758" w14:textId="77777777" w:rsidR="009D5C48" w:rsidRDefault="009D5C48" w:rsidP="003F2A12">
      <w:pPr>
        <w:pStyle w:val="TEXTONORMAL"/>
        <w:numPr>
          <w:ilvl w:val="0"/>
          <w:numId w:val="23"/>
        </w:numPr>
        <w:ind w:left="998" w:hanging="284"/>
      </w:pPr>
      <w:r>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14:paraId="4C6C91A8" w14:textId="77777777" w:rsidR="009D5C48" w:rsidRDefault="009D5C48" w:rsidP="003F2A12">
      <w:pPr>
        <w:pStyle w:val="TEXTONORMAL"/>
        <w:numPr>
          <w:ilvl w:val="0"/>
          <w:numId w:val="23"/>
        </w:numPr>
        <w:ind w:left="998" w:hanging="284"/>
      </w:pPr>
      <w:r>
        <w:t>Fideicomiso de Administración de Teatros y Salas de Espectáculos IMSS, fue constituido el 01 de febrero de 1983, con el objeto de promover el desarrollo de proyectos teatrales.</w:t>
      </w:r>
    </w:p>
    <w:p w14:paraId="7C1CA914" w14:textId="77777777" w:rsidR="009D5C48" w:rsidRPr="00E46E82" w:rsidRDefault="009D5C48" w:rsidP="003F2A12">
      <w:pPr>
        <w:pStyle w:val="TEXTONORMAL"/>
        <w:numPr>
          <w:ilvl w:val="0"/>
          <w:numId w:val="23"/>
        </w:numPr>
        <w:ind w:left="998" w:hanging="284"/>
      </w:pPr>
      <w:r w:rsidRPr="00E46E82">
        <w:t xml:space="preserve">Fondo de Investigación Científica y Desarrollo Tecnológico denominado Fondo de Investigación en Salud, fue constituido el 15 de agosto de 2008, </w:t>
      </w:r>
      <w:r>
        <w:t>cuyo</w:t>
      </w:r>
      <w:r w:rsidRPr="00E46E82">
        <w:t xml:space="preserve"> objeto </w:t>
      </w:r>
      <w:r>
        <w:t xml:space="preserve">es </w:t>
      </w:r>
      <w:r w:rsidRPr="00E46E82">
        <w:t>la realización de protocolos de investigación en salud y proyectos para el desarrollo de investigaciones.</w:t>
      </w:r>
    </w:p>
    <w:p w14:paraId="728F564E" w14:textId="77777777" w:rsidR="009D5C48" w:rsidRPr="00E46E82" w:rsidRDefault="009D5C48" w:rsidP="008C7244">
      <w:pPr>
        <w:pStyle w:val="TEXTONORMAL"/>
        <w:ind w:left="998"/>
      </w:pPr>
      <w:r w:rsidRPr="00E46E82">
        <w:t>El 06 de noviembre de 2020, el Presidente de los Estados Unidos Mexicanos publicó en el Diario Oficial de la Federación, el DECRETO por el que se reforman y derogan diversas disposiciones, mediante el cual se derogaron algunas disposiciones de la Ley de Ciencia y Tecnología artículos 23,</w:t>
      </w:r>
      <w:r>
        <w:t xml:space="preserve"> </w:t>
      </w:r>
      <w:r w:rsidRPr="00E46E82">
        <w:t>26,</w:t>
      </w:r>
      <w:r>
        <w:t xml:space="preserve"> </w:t>
      </w:r>
      <w:r w:rsidRPr="00E46E82">
        <w:t>27 y 50 que sustentaban la existencia</w:t>
      </w:r>
      <w:r>
        <w:t xml:space="preserve"> del “Contrato del Fideicomiso”, por lo que dicho Fideicomiso fue extinguido el 30 de junio de 2021.</w:t>
      </w:r>
    </w:p>
    <w:p w14:paraId="7FEED9DB" w14:textId="77777777" w:rsidR="009D5C48" w:rsidRPr="00E46E82" w:rsidRDefault="009D5C48" w:rsidP="008A0387">
      <w:pPr>
        <w:pStyle w:val="TEXTONORMAL"/>
        <w:ind w:left="998"/>
      </w:pPr>
      <w:r w:rsidRPr="00E46E82">
        <w:t xml:space="preserve">Por lo anterior, el saldo de este fondo corresponde al proceso penal en la Coordinación de Investigación y Asuntos de Defraudación con número CIAD/18/2014-09-11; y Denuncia ante la Delegación de la Procuraduría General de la República en la Ciudad de México, la cual dio origen a la carpeta de Investigación </w:t>
      </w:r>
      <w:r w:rsidR="0050360F">
        <w:t>n</w:t>
      </w:r>
      <w:r w:rsidRPr="00E46E82">
        <w:t>úmero FED/CDMX/SPE/0005508/2017, realizada en la Agencia Primera de la Unidad de Investigación y Litigación (UIL), en seguimiento a la Investigación Laboral número 94/2014.</w:t>
      </w:r>
      <w:r>
        <w:t xml:space="preserve"> </w:t>
      </w:r>
      <w:r w:rsidRPr="00E46E82">
        <w:t>Dicho importe ha sido reflejado en los Estados Financieros Dictaminados d</w:t>
      </w:r>
      <w:r>
        <w:t xml:space="preserve">el Fideicomiso desde su origen en </w:t>
      </w:r>
      <w:r w:rsidRPr="00E46E82">
        <w:t>2014.</w:t>
      </w:r>
    </w:p>
    <w:p w14:paraId="09289994" w14:textId="77777777" w:rsidR="009D5C48" w:rsidRDefault="009D5C48" w:rsidP="00274F07">
      <w:pPr>
        <w:pStyle w:val="TEXTONORMAL"/>
        <w:ind w:left="998"/>
      </w:pPr>
      <w:r w:rsidRPr="00E46E82">
        <w:t>La recuperación y/o reparación del daño dependerá de la resolución que se dé a la carpeta de investigación FED/CDMX/SPE/0005508/2017 ante la instancia respectiva.</w:t>
      </w:r>
    </w:p>
    <w:p w14:paraId="75986F58" w14:textId="77777777" w:rsidR="009D5C48" w:rsidRDefault="009D5C48" w:rsidP="003F2A12">
      <w:pPr>
        <w:pStyle w:val="TEXTONORMAL"/>
        <w:numPr>
          <w:ilvl w:val="0"/>
          <w:numId w:val="23"/>
        </w:numPr>
        <w:ind w:left="998" w:hanging="284"/>
      </w:pPr>
      <w:r>
        <w:t>Fideicomiso Irrevocable de Administración e Inversión Niña del Milenio, fue constituido el 12 de julio de 2000, con el objeto de proporcionar ayuda a la beneficiaria para gastos de alimentación, vestido y educación.</w:t>
      </w:r>
    </w:p>
    <w:p w14:paraId="73F48617" w14:textId="77777777" w:rsidR="009A4968" w:rsidRDefault="009A4968" w:rsidP="00786427">
      <w:pPr>
        <w:pStyle w:val="TEXTONORMAL"/>
      </w:pPr>
    </w:p>
    <w:p w14:paraId="06C91BC4" w14:textId="77777777" w:rsidR="005120CE" w:rsidRDefault="005120CE" w:rsidP="00786427">
      <w:pPr>
        <w:pStyle w:val="TEXTONORMAL"/>
      </w:pPr>
    </w:p>
    <w:p w14:paraId="6C3AE7F8" w14:textId="77777777" w:rsidR="005120CE" w:rsidRDefault="005120CE" w:rsidP="00786427">
      <w:pPr>
        <w:pStyle w:val="TEXTONORMAL"/>
      </w:pPr>
    </w:p>
    <w:p w14:paraId="2AE21705" w14:textId="77777777" w:rsidR="005120CE" w:rsidRDefault="005120CE" w:rsidP="00786427">
      <w:pPr>
        <w:pStyle w:val="TEXTONORMAL"/>
      </w:pPr>
    </w:p>
    <w:p w14:paraId="3E99F375" w14:textId="77777777" w:rsidR="005120CE" w:rsidRDefault="005120CE" w:rsidP="00786427">
      <w:pPr>
        <w:pStyle w:val="TEXTONORMAL"/>
      </w:pPr>
    </w:p>
    <w:p w14:paraId="331DA4C6" w14:textId="77777777" w:rsidR="005120CE" w:rsidRDefault="005120CE" w:rsidP="00786427">
      <w:pPr>
        <w:pStyle w:val="TEXTONORMAL"/>
      </w:pPr>
    </w:p>
    <w:p w14:paraId="13470E88" w14:textId="77777777" w:rsidR="009D5C48" w:rsidRPr="00EB025D" w:rsidRDefault="00057082" w:rsidP="003F2A12">
      <w:pPr>
        <w:pStyle w:val="VIETAFLECHA"/>
        <w:numPr>
          <w:ilvl w:val="1"/>
          <w:numId w:val="24"/>
        </w:numPr>
        <w:ind w:left="357" w:hanging="357"/>
      </w:pPr>
      <w:r w:rsidRPr="008142BE">
        <w:rPr>
          <w:b/>
        </w:rPr>
        <w:lastRenderedPageBreak/>
        <w:t>1.8</w:t>
      </w:r>
      <w:r>
        <w:t xml:space="preserve"> </w:t>
      </w:r>
      <w:r w:rsidR="009D5C48" w:rsidRPr="00EB025D">
        <w:t>Derechos a Recibir Efectivo o Equivalentes a Largo Plazo</w:t>
      </w:r>
    </w:p>
    <w:p w14:paraId="28053FA4" w14:textId="77777777" w:rsidR="009D5C48" w:rsidRDefault="00F4600F" w:rsidP="004B1F81">
      <w:pPr>
        <w:pStyle w:val="TEXTONORMAL"/>
      </w:pPr>
      <w:r>
        <w:t>Al 30 de</w:t>
      </w:r>
      <w:r w:rsidR="00652FC9">
        <w:t xml:space="preserve"> </w:t>
      </w:r>
      <w:r>
        <w:t>septiembre</w:t>
      </w:r>
      <w:r w:rsidR="00301116">
        <w:t xml:space="preserve"> de 2022</w:t>
      </w:r>
      <w:r w:rsidR="00301116" w:rsidRPr="000B2CE4">
        <w:t xml:space="preserve"> y</w:t>
      </w:r>
      <w:r w:rsidR="00301116">
        <w:t xml:space="preserve"> al</w:t>
      </w:r>
      <w:r w:rsidR="00301116" w:rsidRPr="000B2CE4">
        <w:t xml:space="preserve"> </w:t>
      </w:r>
      <w:r w:rsidR="00301116">
        <w:t>31 de diciembre de 2021</w:t>
      </w:r>
      <w:r w:rsidR="009D5C48" w:rsidRPr="00A252C8">
        <w:t>, el rubro de Derechos a Recibir Efectivo o Equivalentes a Largo Plazo se integra de la siguiente manera:</w:t>
      </w:r>
    </w:p>
    <w:p w14:paraId="6C672DF3" w14:textId="77777777" w:rsidR="009D5C48" w:rsidRDefault="009D5C48" w:rsidP="009D5C48">
      <w:pPr>
        <w:pStyle w:val="TEXTONORMAL"/>
      </w:pPr>
    </w:p>
    <w:tbl>
      <w:tblPr>
        <w:tblW w:w="10116" w:type="dxa"/>
        <w:jc w:val="center"/>
        <w:tblCellMar>
          <w:left w:w="70" w:type="dxa"/>
          <w:right w:w="70" w:type="dxa"/>
        </w:tblCellMar>
        <w:tblLook w:val="04A0" w:firstRow="1" w:lastRow="0" w:firstColumn="1" w:lastColumn="0" w:noHBand="0" w:noVBand="1"/>
      </w:tblPr>
      <w:tblGrid>
        <w:gridCol w:w="5901"/>
        <w:gridCol w:w="2119"/>
        <w:gridCol w:w="2096"/>
      </w:tblGrid>
      <w:tr w:rsidR="00652FC9" w:rsidRPr="00652FC9" w14:paraId="0A1C082A" w14:textId="77777777" w:rsidTr="00A461CA">
        <w:trPr>
          <w:trHeight w:val="319"/>
          <w:jc w:val="center"/>
        </w:trPr>
        <w:tc>
          <w:tcPr>
            <w:tcW w:w="590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D5AA608" w14:textId="77777777" w:rsidR="00652FC9" w:rsidRPr="00652FC9" w:rsidRDefault="00652FC9" w:rsidP="00652FC9">
            <w:pPr>
              <w:spacing w:after="0" w:line="240" w:lineRule="auto"/>
              <w:jc w:val="center"/>
              <w:rPr>
                <w:rFonts w:ascii="Montserrat" w:eastAsia="Times New Roman" w:hAnsi="Montserrat"/>
                <w:b/>
                <w:bCs/>
                <w:color w:val="FFFFFF"/>
                <w:sz w:val="16"/>
                <w:szCs w:val="16"/>
                <w:lang w:val="es-MX" w:eastAsia="es-MX"/>
              </w:rPr>
            </w:pPr>
            <w:r w:rsidRPr="00652FC9">
              <w:rPr>
                <w:rFonts w:ascii="Montserrat" w:eastAsia="Times New Roman" w:hAnsi="Montserrat"/>
                <w:b/>
                <w:bCs/>
                <w:color w:val="FFFFFF"/>
                <w:sz w:val="16"/>
                <w:szCs w:val="16"/>
                <w:lang w:val="es-MX" w:eastAsia="es-MX"/>
              </w:rPr>
              <w:t>Concepto</w:t>
            </w:r>
          </w:p>
        </w:tc>
        <w:tc>
          <w:tcPr>
            <w:tcW w:w="421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9A06A55" w14:textId="77777777" w:rsidR="00652FC9" w:rsidRPr="00652FC9" w:rsidRDefault="00652FC9" w:rsidP="00652FC9">
            <w:pPr>
              <w:spacing w:after="0" w:line="240" w:lineRule="auto"/>
              <w:jc w:val="center"/>
              <w:rPr>
                <w:rFonts w:ascii="Montserrat" w:eastAsia="Times New Roman" w:hAnsi="Montserrat"/>
                <w:b/>
                <w:bCs/>
                <w:color w:val="FFFFFF"/>
                <w:sz w:val="16"/>
                <w:szCs w:val="16"/>
                <w:lang w:val="es-MX" w:eastAsia="es-MX"/>
              </w:rPr>
            </w:pPr>
            <w:r w:rsidRPr="00652FC9">
              <w:rPr>
                <w:rFonts w:ascii="Montserrat" w:eastAsia="Times New Roman" w:hAnsi="Montserrat"/>
                <w:b/>
                <w:bCs/>
                <w:color w:val="FFFFFF"/>
                <w:sz w:val="16"/>
                <w:szCs w:val="16"/>
                <w:lang w:val="es-MX" w:eastAsia="es-MX"/>
              </w:rPr>
              <w:t>Cifras en pesos</w:t>
            </w:r>
          </w:p>
        </w:tc>
      </w:tr>
      <w:tr w:rsidR="00652FC9" w:rsidRPr="00652FC9" w14:paraId="295C985F" w14:textId="77777777" w:rsidTr="00A461CA">
        <w:trPr>
          <w:trHeight w:val="319"/>
          <w:jc w:val="center"/>
        </w:trPr>
        <w:tc>
          <w:tcPr>
            <w:tcW w:w="5901" w:type="dxa"/>
            <w:vMerge/>
            <w:tcBorders>
              <w:top w:val="single" w:sz="12" w:space="0" w:color="808080"/>
              <w:left w:val="single" w:sz="12" w:space="0" w:color="FFFFFF"/>
              <w:bottom w:val="double" w:sz="6" w:space="0" w:color="808080"/>
              <w:right w:val="single" w:sz="12" w:space="0" w:color="FFFFFF"/>
            </w:tcBorders>
            <w:vAlign w:val="center"/>
            <w:hideMark/>
          </w:tcPr>
          <w:p w14:paraId="7071D918" w14:textId="77777777" w:rsidR="00652FC9" w:rsidRPr="00652FC9" w:rsidRDefault="00652FC9" w:rsidP="00652FC9">
            <w:pPr>
              <w:spacing w:after="0" w:line="240" w:lineRule="auto"/>
              <w:rPr>
                <w:rFonts w:ascii="Montserrat" w:eastAsia="Times New Roman" w:hAnsi="Montserrat"/>
                <w:b/>
                <w:bCs/>
                <w:color w:val="FFFFFF"/>
                <w:sz w:val="16"/>
                <w:szCs w:val="16"/>
                <w:lang w:val="es-MX" w:eastAsia="es-MX"/>
              </w:rPr>
            </w:pPr>
          </w:p>
        </w:tc>
        <w:tc>
          <w:tcPr>
            <w:tcW w:w="2119" w:type="dxa"/>
            <w:tcBorders>
              <w:top w:val="nil"/>
              <w:left w:val="nil"/>
              <w:bottom w:val="double" w:sz="6" w:space="0" w:color="808080"/>
              <w:right w:val="single" w:sz="12" w:space="0" w:color="FFFFFF"/>
            </w:tcBorders>
            <w:shd w:val="clear" w:color="000000" w:fill="D4C19C"/>
            <w:vAlign w:val="center"/>
            <w:hideMark/>
          </w:tcPr>
          <w:p w14:paraId="5AA26381" w14:textId="77777777" w:rsidR="00652FC9" w:rsidRPr="00652FC9" w:rsidRDefault="00652FC9" w:rsidP="00652FC9">
            <w:pPr>
              <w:spacing w:after="0" w:line="240" w:lineRule="auto"/>
              <w:jc w:val="center"/>
              <w:rPr>
                <w:rFonts w:ascii="Montserrat" w:eastAsia="Times New Roman" w:hAnsi="Montserrat"/>
                <w:b/>
                <w:bCs/>
                <w:color w:val="FFFFFF"/>
                <w:sz w:val="16"/>
                <w:szCs w:val="16"/>
                <w:lang w:val="es-MX" w:eastAsia="es-MX"/>
              </w:rPr>
            </w:pPr>
            <w:r w:rsidRPr="00652FC9">
              <w:rPr>
                <w:rFonts w:ascii="Montserrat" w:eastAsia="Times New Roman" w:hAnsi="Montserrat"/>
                <w:b/>
                <w:bCs/>
                <w:color w:val="FFFFFF"/>
                <w:sz w:val="16"/>
                <w:szCs w:val="16"/>
                <w:lang w:val="es-MX" w:eastAsia="es-MX"/>
              </w:rPr>
              <w:t>2022</w:t>
            </w:r>
          </w:p>
        </w:tc>
        <w:tc>
          <w:tcPr>
            <w:tcW w:w="2096" w:type="dxa"/>
            <w:tcBorders>
              <w:top w:val="nil"/>
              <w:left w:val="nil"/>
              <w:bottom w:val="double" w:sz="6" w:space="0" w:color="808080"/>
              <w:right w:val="single" w:sz="12" w:space="0" w:color="FFFFFF"/>
            </w:tcBorders>
            <w:shd w:val="clear" w:color="000000" w:fill="D4C19C"/>
            <w:vAlign w:val="center"/>
            <w:hideMark/>
          </w:tcPr>
          <w:p w14:paraId="22D03A62" w14:textId="77777777" w:rsidR="00652FC9" w:rsidRPr="00652FC9" w:rsidRDefault="00652FC9" w:rsidP="00652FC9">
            <w:pPr>
              <w:spacing w:after="0" w:line="240" w:lineRule="auto"/>
              <w:jc w:val="center"/>
              <w:rPr>
                <w:rFonts w:ascii="Montserrat" w:eastAsia="Times New Roman" w:hAnsi="Montserrat"/>
                <w:b/>
                <w:bCs/>
                <w:color w:val="FFFFFF"/>
                <w:sz w:val="16"/>
                <w:szCs w:val="16"/>
                <w:lang w:val="es-MX" w:eastAsia="es-MX"/>
              </w:rPr>
            </w:pPr>
            <w:r w:rsidRPr="00652FC9">
              <w:rPr>
                <w:rFonts w:ascii="Montserrat" w:eastAsia="Times New Roman" w:hAnsi="Montserrat"/>
                <w:b/>
                <w:bCs/>
                <w:color w:val="FFFFFF"/>
                <w:sz w:val="16"/>
                <w:szCs w:val="16"/>
                <w:lang w:val="es-MX" w:eastAsia="es-MX"/>
              </w:rPr>
              <w:t>2021</w:t>
            </w:r>
          </w:p>
        </w:tc>
      </w:tr>
      <w:tr w:rsidR="00652FC9" w:rsidRPr="00652FC9" w14:paraId="56572ED2" w14:textId="77777777" w:rsidTr="00A461CA">
        <w:trPr>
          <w:trHeight w:val="304"/>
          <w:jc w:val="center"/>
        </w:trPr>
        <w:tc>
          <w:tcPr>
            <w:tcW w:w="5901" w:type="dxa"/>
            <w:tcBorders>
              <w:top w:val="nil"/>
              <w:left w:val="nil"/>
              <w:bottom w:val="nil"/>
              <w:right w:val="nil"/>
            </w:tcBorders>
            <w:shd w:val="clear" w:color="000000" w:fill="F2F2F2"/>
            <w:vAlign w:val="center"/>
            <w:hideMark/>
          </w:tcPr>
          <w:p w14:paraId="604E3506" w14:textId="77777777" w:rsidR="00652FC9" w:rsidRPr="00652FC9" w:rsidRDefault="00652FC9" w:rsidP="00652FC9">
            <w:pPr>
              <w:spacing w:after="0" w:line="240" w:lineRule="auto"/>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 xml:space="preserve">Deudores por Préstamos al Personal </w:t>
            </w:r>
            <w:r w:rsidRPr="00652FC9">
              <w:rPr>
                <w:rFonts w:ascii="Montserrat" w:eastAsia="Times New Roman" w:hAnsi="Montserrat"/>
                <w:b/>
                <w:bCs/>
                <w:color w:val="000000"/>
                <w:sz w:val="15"/>
                <w:szCs w:val="15"/>
                <w:lang w:val="es-MX" w:eastAsia="es-MX"/>
              </w:rPr>
              <w:t>(1.8.a)</w:t>
            </w:r>
          </w:p>
        </w:tc>
        <w:tc>
          <w:tcPr>
            <w:tcW w:w="2119" w:type="dxa"/>
            <w:tcBorders>
              <w:top w:val="nil"/>
              <w:left w:val="nil"/>
              <w:bottom w:val="nil"/>
              <w:right w:val="nil"/>
            </w:tcBorders>
            <w:shd w:val="clear" w:color="000000" w:fill="F2F2F2"/>
            <w:vAlign w:val="center"/>
            <w:hideMark/>
          </w:tcPr>
          <w:p w14:paraId="33551015" w14:textId="77777777" w:rsidR="00652FC9" w:rsidRPr="00652FC9" w:rsidRDefault="00652FC9" w:rsidP="00652FC9">
            <w:pPr>
              <w:spacing w:after="0" w:line="240" w:lineRule="auto"/>
              <w:jc w:val="right"/>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25,989,526,126.7</w:t>
            </w:r>
          </w:p>
        </w:tc>
        <w:tc>
          <w:tcPr>
            <w:tcW w:w="2096" w:type="dxa"/>
            <w:tcBorders>
              <w:top w:val="nil"/>
              <w:left w:val="nil"/>
              <w:bottom w:val="nil"/>
              <w:right w:val="nil"/>
            </w:tcBorders>
            <w:shd w:val="clear" w:color="000000" w:fill="F2F2F2"/>
            <w:vAlign w:val="center"/>
            <w:hideMark/>
          </w:tcPr>
          <w:p w14:paraId="6156B47E" w14:textId="77777777" w:rsidR="00652FC9" w:rsidRPr="00652FC9" w:rsidRDefault="00652FC9" w:rsidP="00652FC9">
            <w:pPr>
              <w:spacing w:after="0" w:line="240" w:lineRule="auto"/>
              <w:jc w:val="right"/>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26,342,793,487.9</w:t>
            </w:r>
          </w:p>
        </w:tc>
      </w:tr>
      <w:tr w:rsidR="00652FC9" w:rsidRPr="00652FC9" w14:paraId="66D810C7" w14:textId="77777777" w:rsidTr="00A461CA">
        <w:trPr>
          <w:trHeight w:val="290"/>
          <w:jc w:val="center"/>
        </w:trPr>
        <w:tc>
          <w:tcPr>
            <w:tcW w:w="5901" w:type="dxa"/>
            <w:tcBorders>
              <w:top w:val="nil"/>
              <w:left w:val="nil"/>
              <w:bottom w:val="nil"/>
              <w:right w:val="nil"/>
            </w:tcBorders>
            <w:shd w:val="clear" w:color="000000" w:fill="F2F2F2"/>
            <w:vAlign w:val="center"/>
            <w:hideMark/>
          </w:tcPr>
          <w:p w14:paraId="69AC2174" w14:textId="77777777" w:rsidR="00652FC9" w:rsidRPr="00652FC9" w:rsidRDefault="00652FC9" w:rsidP="00652FC9">
            <w:pPr>
              <w:spacing w:after="0" w:line="240" w:lineRule="auto"/>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Bienes Adjudicados</w:t>
            </w:r>
          </w:p>
        </w:tc>
        <w:tc>
          <w:tcPr>
            <w:tcW w:w="2119" w:type="dxa"/>
            <w:tcBorders>
              <w:top w:val="nil"/>
              <w:left w:val="nil"/>
              <w:bottom w:val="nil"/>
              <w:right w:val="nil"/>
            </w:tcBorders>
            <w:shd w:val="clear" w:color="000000" w:fill="F2F2F2"/>
            <w:vAlign w:val="center"/>
            <w:hideMark/>
          </w:tcPr>
          <w:p w14:paraId="0B8C3FF4" w14:textId="77777777" w:rsidR="00652FC9" w:rsidRPr="00652FC9" w:rsidRDefault="00652FC9" w:rsidP="00652FC9">
            <w:pPr>
              <w:spacing w:after="0" w:line="240" w:lineRule="auto"/>
              <w:jc w:val="right"/>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1,500,260,272.0</w:t>
            </w:r>
          </w:p>
        </w:tc>
        <w:tc>
          <w:tcPr>
            <w:tcW w:w="2096" w:type="dxa"/>
            <w:tcBorders>
              <w:top w:val="nil"/>
              <w:left w:val="nil"/>
              <w:bottom w:val="nil"/>
              <w:right w:val="nil"/>
            </w:tcBorders>
            <w:shd w:val="clear" w:color="000000" w:fill="F2F2F2"/>
            <w:vAlign w:val="center"/>
            <w:hideMark/>
          </w:tcPr>
          <w:p w14:paraId="1E7E1AD5" w14:textId="77777777" w:rsidR="00652FC9" w:rsidRPr="00652FC9" w:rsidRDefault="00652FC9" w:rsidP="00652FC9">
            <w:pPr>
              <w:spacing w:after="0" w:line="240" w:lineRule="auto"/>
              <w:jc w:val="right"/>
              <w:rPr>
                <w:rFonts w:ascii="Montserrat" w:eastAsia="Times New Roman" w:hAnsi="Montserrat"/>
                <w:color w:val="000000"/>
                <w:sz w:val="15"/>
                <w:szCs w:val="15"/>
                <w:lang w:val="es-MX" w:eastAsia="es-MX"/>
              </w:rPr>
            </w:pPr>
            <w:r w:rsidRPr="00652FC9">
              <w:rPr>
                <w:rFonts w:ascii="Montserrat" w:eastAsia="Times New Roman" w:hAnsi="Montserrat"/>
                <w:color w:val="000000"/>
                <w:sz w:val="15"/>
                <w:szCs w:val="15"/>
                <w:lang w:val="es-MX" w:eastAsia="es-MX"/>
              </w:rPr>
              <w:t>1,244,147,266.5</w:t>
            </w:r>
          </w:p>
        </w:tc>
      </w:tr>
      <w:tr w:rsidR="00652FC9" w:rsidRPr="00652FC9" w14:paraId="0FC15720" w14:textId="77777777" w:rsidTr="00A461CA">
        <w:trPr>
          <w:trHeight w:val="391"/>
          <w:jc w:val="center"/>
        </w:trPr>
        <w:tc>
          <w:tcPr>
            <w:tcW w:w="5901" w:type="dxa"/>
            <w:tcBorders>
              <w:top w:val="nil"/>
              <w:left w:val="nil"/>
              <w:bottom w:val="single" w:sz="12" w:space="0" w:color="808080"/>
              <w:right w:val="nil"/>
            </w:tcBorders>
            <w:shd w:val="clear" w:color="000000" w:fill="F2F2F2"/>
            <w:vAlign w:val="center"/>
            <w:hideMark/>
          </w:tcPr>
          <w:p w14:paraId="0A08935D" w14:textId="77777777" w:rsidR="00652FC9" w:rsidRPr="00652FC9" w:rsidRDefault="00652FC9" w:rsidP="00652FC9">
            <w:pPr>
              <w:spacing w:after="0" w:line="240" w:lineRule="auto"/>
              <w:rPr>
                <w:rFonts w:ascii="Montserrat" w:eastAsia="Times New Roman" w:hAnsi="Montserrat"/>
                <w:b/>
                <w:bCs/>
                <w:color w:val="000000"/>
                <w:sz w:val="15"/>
                <w:szCs w:val="15"/>
                <w:lang w:val="es-MX" w:eastAsia="es-MX"/>
              </w:rPr>
            </w:pPr>
            <w:r w:rsidRPr="00652FC9">
              <w:rPr>
                <w:rFonts w:ascii="Montserrat" w:eastAsia="Times New Roman" w:hAnsi="Montserrat"/>
                <w:b/>
                <w:bCs/>
                <w:color w:val="000000"/>
                <w:sz w:val="15"/>
                <w:szCs w:val="15"/>
                <w:lang w:val="es-MX" w:eastAsia="es-MX"/>
              </w:rPr>
              <w:t>Total Derechos a Recibir Efectivo o Equivalentes a Largo Plazo</w:t>
            </w:r>
          </w:p>
        </w:tc>
        <w:tc>
          <w:tcPr>
            <w:tcW w:w="2119" w:type="dxa"/>
            <w:tcBorders>
              <w:top w:val="nil"/>
              <w:left w:val="nil"/>
              <w:bottom w:val="single" w:sz="12" w:space="0" w:color="808080"/>
              <w:right w:val="nil"/>
            </w:tcBorders>
            <w:shd w:val="clear" w:color="000000" w:fill="F2F2F2"/>
            <w:vAlign w:val="center"/>
            <w:hideMark/>
          </w:tcPr>
          <w:p w14:paraId="060A0DF0" w14:textId="77777777" w:rsidR="00652FC9" w:rsidRPr="00652FC9" w:rsidRDefault="00652FC9" w:rsidP="00652FC9">
            <w:pPr>
              <w:spacing w:after="0" w:line="240" w:lineRule="auto"/>
              <w:jc w:val="right"/>
              <w:rPr>
                <w:rFonts w:ascii="Montserrat" w:eastAsia="Times New Roman" w:hAnsi="Montserrat"/>
                <w:b/>
                <w:bCs/>
                <w:color w:val="000000"/>
                <w:sz w:val="15"/>
                <w:szCs w:val="15"/>
                <w:lang w:val="es-MX" w:eastAsia="es-MX"/>
              </w:rPr>
            </w:pPr>
            <w:r w:rsidRPr="00652FC9">
              <w:rPr>
                <w:rFonts w:ascii="Montserrat" w:eastAsia="Times New Roman" w:hAnsi="Montserrat"/>
                <w:b/>
                <w:bCs/>
                <w:color w:val="000000"/>
                <w:sz w:val="15"/>
                <w:szCs w:val="15"/>
                <w:lang w:val="es-MX" w:eastAsia="es-MX"/>
              </w:rPr>
              <w:t>27,489,786,398.7</w:t>
            </w:r>
          </w:p>
        </w:tc>
        <w:tc>
          <w:tcPr>
            <w:tcW w:w="2096" w:type="dxa"/>
            <w:tcBorders>
              <w:top w:val="nil"/>
              <w:left w:val="nil"/>
              <w:bottom w:val="single" w:sz="12" w:space="0" w:color="808080"/>
              <w:right w:val="nil"/>
            </w:tcBorders>
            <w:shd w:val="clear" w:color="000000" w:fill="F2F2F2"/>
            <w:vAlign w:val="center"/>
            <w:hideMark/>
          </w:tcPr>
          <w:p w14:paraId="4AC557AD" w14:textId="77777777" w:rsidR="00652FC9" w:rsidRPr="00652FC9" w:rsidRDefault="00652FC9" w:rsidP="00652FC9">
            <w:pPr>
              <w:spacing w:after="0" w:line="240" w:lineRule="auto"/>
              <w:jc w:val="right"/>
              <w:rPr>
                <w:rFonts w:ascii="Montserrat" w:eastAsia="Times New Roman" w:hAnsi="Montserrat"/>
                <w:b/>
                <w:bCs/>
                <w:color w:val="000000"/>
                <w:sz w:val="15"/>
                <w:szCs w:val="15"/>
                <w:lang w:val="es-MX" w:eastAsia="es-MX"/>
              </w:rPr>
            </w:pPr>
            <w:r w:rsidRPr="00652FC9">
              <w:rPr>
                <w:rFonts w:ascii="Montserrat" w:eastAsia="Times New Roman" w:hAnsi="Montserrat"/>
                <w:b/>
                <w:bCs/>
                <w:color w:val="000000"/>
                <w:sz w:val="15"/>
                <w:szCs w:val="15"/>
                <w:lang w:val="es-MX" w:eastAsia="es-MX"/>
              </w:rPr>
              <w:t>27,586,940,754.4</w:t>
            </w:r>
          </w:p>
        </w:tc>
      </w:tr>
    </w:tbl>
    <w:p w14:paraId="073820D9" w14:textId="77777777" w:rsidR="00854622" w:rsidRDefault="00854622" w:rsidP="009D5C48">
      <w:pPr>
        <w:pStyle w:val="TEXTONORMAL"/>
      </w:pPr>
    </w:p>
    <w:p w14:paraId="0F50DD7B" w14:textId="77777777" w:rsidR="00A461CA" w:rsidRDefault="00A461CA" w:rsidP="009D5C48">
      <w:pPr>
        <w:pStyle w:val="TEXTONORMAL"/>
      </w:pPr>
    </w:p>
    <w:p w14:paraId="2C4D7773" w14:textId="77777777" w:rsidR="009D5C48" w:rsidRPr="00E83436" w:rsidRDefault="009D5C48" w:rsidP="003F2A12">
      <w:pPr>
        <w:pStyle w:val="TEXTONORMAL"/>
        <w:numPr>
          <w:ilvl w:val="0"/>
          <w:numId w:val="25"/>
        </w:numPr>
        <w:ind w:left="714" w:hanging="357"/>
        <w:rPr>
          <w:lang w:val="es-MX"/>
        </w:rPr>
      </w:pPr>
      <w:r>
        <w:rPr>
          <w:b/>
          <w:lang w:val="es-MX"/>
        </w:rPr>
        <w:t>1.8.a</w:t>
      </w:r>
      <w:r w:rsidRPr="00A50EDF">
        <w:rPr>
          <w:b/>
          <w:lang w:val="es-MX"/>
        </w:rPr>
        <w:t>)</w:t>
      </w:r>
      <w:r>
        <w:rPr>
          <w:lang w:val="es-MX"/>
        </w:rPr>
        <w:t xml:space="preserve"> </w:t>
      </w: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14:paraId="32EC405C" w14:textId="77777777" w:rsidR="009D5C48" w:rsidRPr="00D722CF" w:rsidRDefault="009D5C48" w:rsidP="003F2A12">
      <w:pPr>
        <w:pStyle w:val="TEXTONORMAL"/>
        <w:numPr>
          <w:ilvl w:val="0"/>
          <w:numId w:val="26"/>
        </w:numPr>
        <w:ind w:left="998" w:hanging="284"/>
      </w:pPr>
      <w:r w:rsidRPr="00D722CF">
        <w:t>Deben otorgarse una sola vez en la vida laboral del trabajador.</w:t>
      </w:r>
    </w:p>
    <w:p w14:paraId="2C6DCB23" w14:textId="77777777" w:rsidR="009D5C48" w:rsidRPr="00D722CF" w:rsidRDefault="009D5C48" w:rsidP="003F2A12">
      <w:pPr>
        <w:pStyle w:val="TEXTONORMAL"/>
        <w:numPr>
          <w:ilvl w:val="0"/>
          <w:numId w:val="26"/>
        </w:numPr>
        <w:ind w:left="998" w:hanging="284"/>
      </w:pPr>
      <w:r w:rsidRPr="00D722CF">
        <w:t>Para obtener un préstamo a mediano plazo o un crédito hipotecario, el trabajador deberá tener una antigüedad laboral mínima de 5 años.</w:t>
      </w:r>
    </w:p>
    <w:p w14:paraId="0B16BCA8" w14:textId="77777777" w:rsidR="009D5C48" w:rsidRPr="00D722CF" w:rsidRDefault="009D5C48" w:rsidP="003F2A12">
      <w:pPr>
        <w:pStyle w:val="TEXTONORMAL"/>
        <w:numPr>
          <w:ilvl w:val="0"/>
          <w:numId w:val="26"/>
        </w:numPr>
        <w:ind w:left="998" w:hanging="284"/>
      </w:pPr>
      <w:r w:rsidRPr="00D722CF">
        <w:t>El plazo máximo de amortización es de 25 años.</w:t>
      </w:r>
    </w:p>
    <w:p w14:paraId="025042B1" w14:textId="77777777" w:rsidR="009D5C48" w:rsidRPr="00D722CF" w:rsidRDefault="009D5C48" w:rsidP="003F2A12">
      <w:pPr>
        <w:pStyle w:val="TEXTONORMAL"/>
        <w:numPr>
          <w:ilvl w:val="0"/>
          <w:numId w:val="26"/>
        </w:numPr>
        <w:ind w:left="998" w:hanging="284"/>
      </w:pPr>
      <w:r w:rsidRPr="00D722CF">
        <w:t>El crédito deberá destinarse para la construcción, adquisición o ampliación de vivienda del o para el trabajador.</w:t>
      </w:r>
    </w:p>
    <w:p w14:paraId="5C1B229E" w14:textId="77777777" w:rsidR="009D5C48" w:rsidRPr="00D722CF" w:rsidRDefault="009D5C48" w:rsidP="003F2A12">
      <w:pPr>
        <w:pStyle w:val="TEXTONORMAL"/>
        <w:numPr>
          <w:ilvl w:val="0"/>
          <w:numId w:val="26"/>
        </w:numPr>
        <w:ind w:left="998" w:hanging="284"/>
      </w:pPr>
      <w:r w:rsidRPr="00D722CF">
        <w:t xml:space="preserve">Deberá ser garantizado mediante hipoteca o fideicomiso en primer lugar, que se constituirá sobre el </w:t>
      </w:r>
      <w:r>
        <w:t>inmueble objeto de la operación.</w:t>
      </w:r>
    </w:p>
    <w:p w14:paraId="180BE896" w14:textId="77777777" w:rsidR="009D5C48" w:rsidRDefault="009D5C48" w:rsidP="004B1F81">
      <w:pPr>
        <w:pStyle w:val="TEXTONORMAL"/>
      </w:pPr>
      <w:r w:rsidRPr="00467600">
        <w:t>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Reglamento de Préstamos para el F</w:t>
      </w:r>
      <w:r>
        <w:t>omento de la Habitación de los T</w:t>
      </w:r>
      <w:r w:rsidRPr="00467600">
        <w:t>rabajadores, del CCT.</w:t>
      </w:r>
    </w:p>
    <w:p w14:paraId="1BE67D2A" w14:textId="77777777" w:rsidR="00652FC9" w:rsidRDefault="00652FC9" w:rsidP="004B1F81">
      <w:pPr>
        <w:pStyle w:val="TEXTONORMAL"/>
      </w:pPr>
    </w:p>
    <w:p w14:paraId="745C7059" w14:textId="77777777" w:rsidR="00EC6413" w:rsidRDefault="00EC6413" w:rsidP="004B1F81">
      <w:pPr>
        <w:pStyle w:val="TEXTONORMAL"/>
      </w:pPr>
    </w:p>
    <w:p w14:paraId="194EFA19" w14:textId="1793BB6A" w:rsidR="00EC6413" w:rsidRDefault="00EC6413" w:rsidP="004B1F81">
      <w:pPr>
        <w:pStyle w:val="TEXTONORMAL"/>
      </w:pPr>
    </w:p>
    <w:p w14:paraId="19899386" w14:textId="77777777" w:rsidR="005B1145" w:rsidRDefault="005B1145" w:rsidP="004B1F81">
      <w:pPr>
        <w:pStyle w:val="TEXTONORMAL"/>
      </w:pPr>
    </w:p>
    <w:p w14:paraId="05DD5CFD" w14:textId="77777777" w:rsidR="00EC6413" w:rsidRDefault="00EC6413" w:rsidP="004B1F81">
      <w:pPr>
        <w:pStyle w:val="TEXTONORMAL"/>
      </w:pPr>
    </w:p>
    <w:p w14:paraId="18450977" w14:textId="77777777" w:rsidR="009D5C48" w:rsidRPr="003E4923" w:rsidRDefault="003C5EE9" w:rsidP="003F2A12">
      <w:pPr>
        <w:pStyle w:val="VIETAFLECHA"/>
        <w:numPr>
          <w:ilvl w:val="0"/>
          <w:numId w:val="27"/>
        </w:numPr>
        <w:ind w:left="357" w:hanging="357"/>
      </w:pPr>
      <w:r w:rsidRPr="008142BE">
        <w:rPr>
          <w:b/>
        </w:rPr>
        <w:lastRenderedPageBreak/>
        <w:t>1.9</w:t>
      </w:r>
      <w:r>
        <w:t xml:space="preserve"> </w:t>
      </w:r>
      <w:r w:rsidR="009D5C48" w:rsidRPr="003E4923">
        <w:t>Bienes Inmuebles, Infraestructura y Construcciones en Proceso</w:t>
      </w:r>
    </w:p>
    <w:p w14:paraId="2B88CC82" w14:textId="77777777" w:rsidR="009D5C48" w:rsidRDefault="00CD2807" w:rsidP="004B1F81">
      <w:pPr>
        <w:pStyle w:val="TEXTONORMAL"/>
      </w:pPr>
      <w:r>
        <w:t>Al 30 de septiembre</w:t>
      </w:r>
      <w:r w:rsidR="00301116">
        <w:t xml:space="preserve"> de 2022</w:t>
      </w:r>
      <w:r w:rsidR="00301116" w:rsidRPr="000B2CE4">
        <w:t xml:space="preserve"> y</w:t>
      </w:r>
      <w:r w:rsidR="00301116">
        <w:t xml:space="preserve"> al</w:t>
      </w:r>
      <w:r w:rsidR="00301116" w:rsidRPr="000B2CE4">
        <w:t xml:space="preserve"> </w:t>
      </w:r>
      <w:r w:rsidR="00301116">
        <w:t>31 de diciembre de 2021</w:t>
      </w:r>
      <w:r w:rsidR="009D5C48" w:rsidRPr="00736709">
        <w:t>, este rubro se integra de la siguiente manera:</w:t>
      </w:r>
    </w:p>
    <w:p w14:paraId="3A1A6C7F" w14:textId="77777777" w:rsidR="00301116" w:rsidRDefault="00301116" w:rsidP="004B1F81">
      <w:pPr>
        <w:pStyle w:val="TEXTONORMAL"/>
      </w:pPr>
    </w:p>
    <w:tbl>
      <w:tblPr>
        <w:tblW w:w="10279" w:type="dxa"/>
        <w:jc w:val="center"/>
        <w:tblCellMar>
          <w:left w:w="70" w:type="dxa"/>
          <w:right w:w="70" w:type="dxa"/>
        </w:tblCellMar>
        <w:tblLook w:val="04A0" w:firstRow="1" w:lastRow="0" w:firstColumn="1" w:lastColumn="0" w:noHBand="0" w:noVBand="1"/>
      </w:tblPr>
      <w:tblGrid>
        <w:gridCol w:w="3278"/>
        <w:gridCol w:w="1863"/>
        <w:gridCol w:w="1914"/>
        <w:gridCol w:w="1835"/>
        <w:gridCol w:w="1389"/>
      </w:tblGrid>
      <w:tr w:rsidR="004C5BC5" w:rsidRPr="004C5BC5" w14:paraId="54DA9C90" w14:textId="77777777" w:rsidTr="004C5BC5">
        <w:trPr>
          <w:trHeight w:val="241"/>
          <w:jc w:val="center"/>
        </w:trPr>
        <w:tc>
          <w:tcPr>
            <w:tcW w:w="327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2C112BD"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Concepto</w:t>
            </w:r>
          </w:p>
        </w:tc>
        <w:tc>
          <w:tcPr>
            <w:tcW w:w="7001"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63F8A4E4"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Cifras en pesos</w:t>
            </w:r>
          </w:p>
        </w:tc>
      </w:tr>
      <w:tr w:rsidR="004C5BC5" w:rsidRPr="004C5BC5" w14:paraId="4A29197C" w14:textId="77777777" w:rsidTr="004C5BC5">
        <w:trPr>
          <w:trHeight w:val="241"/>
          <w:jc w:val="center"/>
        </w:trPr>
        <w:tc>
          <w:tcPr>
            <w:tcW w:w="3278" w:type="dxa"/>
            <w:vMerge/>
            <w:tcBorders>
              <w:top w:val="single" w:sz="12" w:space="0" w:color="808080"/>
              <w:left w:val="single" w:sz="12" w:space="0" w:color="FFFFFF"/>
              <w:bottom w:val="double" w:sz="6" w:space="0" w:color="808080"/>
              <w:right w:val="single" w:sz="12" w:space="0" w:color="FFFFFF"/>
            </w:tcBorders>
            <w:vAlign w:val="center"/>
            <w:hideMark/>
          </w:tcPr>
          <w:p w14:paraId="61B52311" w14:textId="77777777" w:rsidR="004C5BC5" w:rsidRPr="004C5BC5" w:rsidRDefault="004C5BC5" w:rsidP="004C5BC5">
            <w:pPr>
              <w:spacing w:after="0" w:line="240" w:lineRule="auto"/>
              <w:rPr>
                <w:rFonts w:ascii="Montserrat" w:eastAsia="Times New Roman" w:hAnsi="Montserrat"/>
                <w:b/>
                <w:bCs/>
                <w:color w:val="FFFFFF"/>
                <w:sz w:val="16"/>
                <w:szCs w:val="16"/>
                <w:lang w:val="es-MX" w:eastAsia="es-MX"/>
              </w:rPr>
            </w:pPr>
          </w:p>
        </w:tc>
        <w:tc>
          <w:tcPr>
            <w:tcW w:w="7001"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7D0F2C72" w14:textId="77777777" w:rsidR="004C5BC5" w:rsidRPr="004C5BC5" w:rsidRDefault="00E22A7C" w:rsidP="004C5BC5">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30</w:t>
            </w:r>
            <w:r w:rsidR="00AF2FB4">
              <w:rPr>
                <w:rFonts w:ascii="Montserrat" w:eastAsia="Times New Roman" w:hAnsi="Montserrat"/>
                <w:b/>
                <w:bCs/>
                <w:color w:val="FFFFFF"/>
                <w:sz w:val="16"/>
                <w:szCs w:val="16"/>
                <w:lang w:val="es-MX" w:eastAsia="es-MX"/>
              </w:rPr>
              <w:t xml:space="preserve"> de septiembre</w:t>
            </w:r>
            <w:r w:rsidR="004C5BC5" w:rsidRPr="004C5BC5">
              <w:rPr>
                <w:rFonts w:ascii="Montserrat" w:eastAsia="Times New Roman" w:hAnsi="Montserrat"/>
                <w:b/>
                <w:bCs/>
                <w:color w:val="FFFFFF"/>
                <w:sz w:val="16"/>
                <w:szCs w:val="16"/>
                <w:lang w:val="es-MX" w:eastAsia="es-MX"/>
              </w:rPr>
              <w:t xml:space="preserve"> de 2022</w:t>
            </w:r>
          </w:p>
        </w:tc>
      </w:tr>
      <w:tr w:rsidR="004C5BC5" w:rsidRPr="004C5BC5" w14:paraId="52BEF0E4" w14:textId="77777777" w:rsidTr="004C5BC5">
        <w:trPr>
          <w:trHeight w:val="394"/>
          <w:jc w:val="center"/>
        </w:trPr>
        <w:tc>
          <w:tcPr>
            <w:tcW w:w="3278" w:type="dxa"/>
            <w:vMerge/>
            <w:tcBorders>
              <w:top w:val="single" w:sz="12" w:space="0" w:color="808080"/>
              <w:left w:val="single" w:sz="12" w:space="0" w:color="FFFFFF"/>
              <w:bottom w:val="double" w:sz="6" w:space="0" w:color="808080"/>
              <w:right w:val="single" w:sz="12" w:space="0" w:color="FFFFFF"/>
            </w:tcBorders>
            <w:vAlign w:val="center"/>
            <w:hideMark/>
          </w:tcPr>
          <w:p w14:paraId="25C37E7E" w14:textId="77777777" w:rsidR="004C5BC5" w:rsidRPr="004C5BC5" w:rsidRDefault="004C5BC5" w:rsidP="004C5BC5">
            <w:pPr>
              <w:spacing w:after="0" w:line="240" w:lineRule="auto"/>
              <w:rPr>
                <w:rFonts w:ascii="Montserrat" w:eastAsia="Times New Roman" w:hAnsi="Montserrat"/>
                <w:b/>
                <w:bCs/>
                <w:color w:val="FFFFFF"/>
                <w:sz w:val="16"/>
                <w:szCs w:val="16"/>
                <w:lang w:val="es-MX" w:eastAsia="es-MX"/>
              </w:rPr>
            </w:pPr>
          </w:p>
        </w:tc>
        <w:tc>
          <w:tcPr>
            <w:tcW w:w="1863" w:type="dxa"/>
            <w:tcBorders>
              <w:top w:val="nil"/>
              <w:left w:val="nil"/>
              <w:bottom w:val="double" w:sz="6" w:space="0" w:color="808080"/>
              <w:right w:val="single" w:sz="12" w:space="0" w:color="FFFFFF"/>
            </w:tcBorders>
            <w:shd w:val="clear" w:color="000000" w:fill="D4C19C"/>
            <w:vAlign w:val="center"/>
            <w:hideMark/>
          </w:tcPr>
          <w:p w14:paraId="57D87672"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Inversión</w:t>
            </w:r>
          </w:p>
        </w:tc>
        <w:tc>
          <w:tcPr>
            <w:tcW w:w="1914" w:type="dxa"/>
            <w:tcBorders>
              <w:top w:val="nil"/>
              <w:left w:val="nil"/>
              <w:bottom w:val="double" w:sz="6" w:space="0" w:color="808080"/>
              <w:right w:val="single" w:sz="12" w:space="0" w:color="FFFFFF"/>
            </w:tcBorders>
            <w:shd w:val="clear" w:color="000000" w:fill="D4C19C"/>
            <w:vAlign w:val="center"/>
            <w:hideMark/>
          </w:tcPr>
          <w:p w14:paraId="2644E8FA"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Depreciación acumulada</w:t>
            </w:r>
          </w:p>
        </w:tc>
        <w:tc>
          <w:tcPr>
            <w:tcW w:w="1835" w:type="dxa"/>
            <w:tcBorders>
              <w:top w:val="nil"/>
              <w:left w:val="nil"/>
              <w:bottom w:val="double" w:sz="6" w:space="0" w:color="808080"/>
              <w:right w:val="single" w:sz="12" w:space="0" w:color="FFFFFF"/>
            </w:tcBorders>
            <w:shd w:val="clear" w:color="000000" w:fill="D4C19C"/>
            <w:vAlign w:val="center"/>
            <w:hideMark/>
          </w:tcPr>
          <w:p w14:paraId="3CAA986F"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Neto</w:t>
            </w:r>
          </w:p>
        </w:tc>
        <w:tc>
          <w:tcPr>
            <w:tcW w:w="1389" w:type="dxa"/>
            <w:tcBorders>
              <w:top w:val="nil"/>
              <w:left w:val="nil"/>
              <w:bottom w:val="double" w:sz="6" w:space="0" w:color="808080"/>
              <w:right w:val="single" w:sz="12" w:space="0" w:color="FFFFFF"/>
            </w:tcBorders>
            <w:shd w:val="clear" w:color="000000" w:fill="D4C19C"/>
            <w:vAlign w:val="center"/>
            <w:hideMark/>
          </w:tcPr>
          <w:p w14:paraId="77A6BD74" w14:textId="77777777" w:rsidR="004C5BC5" w:rsidRPr="004C5BC5" w:rsidRDefault="004C5BC5" w:rsidP="004C5BC5">
            <w:pPr>
              <w:spacing w:after="0" w:line="240" w:lineRule="auto"/>
              <w:jc w:val="center"/>
              <w:rPr>
                <w:rFonts w:ascii="Montserrat" w:eastAsia="Times New Roman" w:hAnsi="Montserrat"/>
                <w:b/>
                <w:bCs/>
                <w:color w:val="FFFFFF"/>
                <w:sz w:val="16"/>
                <w:szCs w:val="16"/>
                <w:lang w:val="es-MX" w:eastAsia="es-MX"/>
              </w:rPr>
            </w:pPr>
            <w:r w:rsidRPr="004C5BC5">
              <w:rPr>
                <w:rFonts w:ascii="Montserrat" w:eastAsia="Times New Roman" w:hAnsi="Montserrat"/>
                <w:b/>
                <w:bCs/>
                <w:color w:val="FFFFFF"/>
                <w:sz w:val="16"/>
                <w:szCs w:val="16"/>
                <w:lang w:val="es-MX" w:eastAsia="es-MX"/>
              </w:rPr>
              <w:t>Vida útil estimada en años</w:t>
            </w:r>
          </w:p>
        </w:tc>
      </w:tr>
      <w:tr w:rsidR="004C5BC5" w:rsidRPr="004C5BC5" w14:paraId="160E0F70" w14:textId="77777777" w:rsidTr="004C5BC5">
        <w:trPr>
          <w:trHeight w:val="230"/>
          <w:jc w:val="center"/>
        </w:trPr>
        <w:tc>
          <w:tcPr>
            <w:tcW w:w="3278" w:type="dxa"/>
            <w:tcBorders>
              <w:top w:val="nil"/>
              <w:left w:val="nil"/>
              <w:bottom w:val="nil"/>
              <w:right w:val="nil"/>
            </w:tcBorders>
            <w:shd w:val="clear" w:color="000000" w:fill="F2F2F2"/>
            <w:vAlign w:val="center"/>
            <w:hideMark/>
          </w:tcPr>
          <w:p w14:paraId="022C4E72" w14:textId="77777777" w:rsidR="004C5BC5" w:rsidRPr="004C5BC5" w:rsidRDefault="004C5BC5" w:rsidP="004C5BC5">
            <w:pPr>
              <w:spacing w:after="0" w:line="240" w:lineRule="auto"/>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Edificios no Habitacionales</w:t>
            </w:r>
          </w:p>
        </w:tc>
        <w:tc>
          <w:tcPr>
            <w:tcW w:w="1863" w:type="dxa"/>
            <w:tcBorders>
              <w:top w:val="nil"/>
              <w:left w:val="nil"/>
              <w:bottom w:val="nil"/>
              <w:right w:val="nil"/>
            </w:tcBorders>
            <w:shd w:val="clear" w:color="000000" w:fill="F2F2F2"/>
            <w:vAlign w:val="center"/>
            <w:hideMark/>
          </w:tcPr>
          <w:p w14:paraId="78CA294D"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103,567,653,474.6</w:t>
            </w:r>
          </w:p>
        </w:tc>
        <w:tc>
          <w:tcPr>
            <w:tcW w:w="1914" w:type="dxa"/>
            <w:tcBorders>
              <w:top w:val="nil"/>
              <w:left w:val="nil"/>
              <w:bottom w:val="nil"/>
              <w:right w:val="nil"/>
            </w:tcBorders>
            <w:shd w:val="clear" w:color="000000" w:fill="F2F2F2"/>
            <w:vAlign w:val="center"/>
            <w:hideMark/>
          </w:tcPr>
          <w:p w14:paraId="7E9F7086"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-28,428,016,210.8</w:t>
            </w:r>
          </w:p>
        </w:tc>
        <w:tc>
          <w:tcPr>
            <w:tcW w:w="1835" w:type="dxa"/>
            <w:tcBorders>
              <w:top w:val="nil"/>
              <w:left w:val="nil"/>
              <w:bottom w:val="nil"/>
              <w:right w:val="nil"/>
            </w:tcBorders>
            <w:shd w:val="clear" w:color="000000" w:fill="F2F2F2"/>
            <w:vAlign w:val="center"/>
            <w:hideMark/>
          </w:tcPr>
          <w:p w14:paraId="45ACB7B2"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75,139,637,263.8</w:t>
            </w:r>
          </w:p>
        </w:tc>
        <w:tc>
          <w:tcPr>
            <w:tcW w:w="1389" w:type="dxa"/>
            <w:tcBorders>
              <w:top w:val="nil"/>
              <w:left w:val="nil"/>
              <w:bottom w:val="nil"/>
              <w:right w:val="nil"/>
            </w:tcBorders>
            <w:shd w:val="clear" w:color="000000" w:fill="F2F2F2"/>
            <w:vAlign w:val="center"/>
            <w:hideMark/>
          </w:tcPr>
          <w:p w14:paraId="0E0FFA9D"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66.66</w:t>
            </w:r>
          </w:p>
        </w:tc>
      </w:tr>
      <w:tr w:rsidR="004C5BC5" w:rsidRPr="004C5BC5" w14:paraId="6194F710" w14:textId="77777777" w:rsidTr="004C5BC5">
        <w:trPr>
          <w:trHeight w:val="219"/>
          <w:jc w:val="center"/>
        </w:trPr>
        <w:tc>
          <w:tcPr>
            <w:tcW w:w="3278" w:type="dxa"/>
            <w:tcBorders>
              <w:top w:val="nil"/>
              <w:left w:val="nil"/>
              <w:bottom w:val="nil"/>
              <w:right w:val="nil"/>
            </w:tcBorders>
            <w:shd w:val="clear" w:color="000000" w:fill="F2F2F2"/>
            <w:vAlign w:val="center"/>
            <w:hideMark/>
          </w:tcPr>
          <w:p w14:paraId="3472EA38" w14:textId="77777777" w:rsidR="004C5BC5" w:rsidRPr="004C5BC5" w:rsidRDefault="004C5BC5" w:rsidP="004C5BC5">
            <w:pPr>
              <w:spacing w:after="0" w:line="240" w:lineRule="auto"/>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Terrenos</w:t>
            </w:r>
          </w:p>
        </w:tc>
        <w:tc>
          <w:tcPr>
            <w:tcW w:w="1863" w:type="dxa"/>
            <w:tcBorders>
              <w:top w:val="nil"/>
              <w:left w:val="nil"/>
              <w:bottom w:val="nil"/>
              <w:right w:val="nil"/>
            </w:tcBorders>
            <w:shd w:val="clear" w:color="000000" w:fill="F2F2F2"/>
            <w:vAlign w:val="center"/>
            <w:hideMark/>
          </w:tcPr>
          <w:p w14:paraId="37903877"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23,553,667,943.6</w:t>
            </w:r>
          </w:p>
        </w:tc>
        <w:tc>
          <w:tcPr>
            <w:tcW w:w="1914" w:type="dxa"/>
            <w:tcBorders>
              <w:top w:val="nil"/>
              <w:left w:val="nil"/>
              <w:bottom w:val="nil"/>
              <w:right w:val="nil"/>
            </w:tcBorders>
            <w:shd w:val="clear" w:color="000000" w:fill="F2F2F2"/>
            <w:vAlign w:val="center"/>
            <w:hideMark/>
          </w:tcPr>
          <w:p w14:paraId="32D30A11"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0</w:t>
            </w:r>
            <w:r w:rsidR="00D347BC">
              <w:rPr>
                <w:rFonts w:ascii="Montserrat" w:eastAsia="Times New Roman" w:hAnsi="Montserrat"/>
                <w:color w:val="000000"/>
                <w:sz w:val="15"/>
                <w:szCs w:val="15"/>
                <w:lang w:val="es-MX" w:eastAsia="es-MX"/>
              </w:rPr>
              <w:t>.0</w:t>
            </w:r>
          </w:p>
        </w:tc>
        <w:tc>
          <w:tcPr>
            <w:tcW w:w="1835" w:type="dxa"/>
            <w:tcBorders>
              <w:top w:val="nil"/>
              <w:left w:val="nil"/>
              <w:bottom w:val="nil"/>
              <w:right w:val="nil"/>
            </w:tcBorders>
            <w:shd w:val="clear" w:color="000000" w:fill="F2F2F2"/>
            <w:vAlign w:val="center"/>
            <w:hideMark/>
          </w:tcPr>
          <w:p w14:paraId="65360A09"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23,553,667,943.6</w:t>
            </w:r>
          </w:p>
        </w:tc>
        <w:tc>
          <w:tcPr>
            <w:tcW w:w="1389" w:type="dxa"/>
            <w:tcBorders>
              <w:top w:val="nil"/>
              <w:left w:val="nil"/>
              <w:bottom w:val="nil"/>
              <w:right w:val="nil"/>
            </w:tcBorders>
            <w:shd w:val="clear" w:color="000000" w:fill="F2F2F2"/>
            <w:vAlign w:val="center"/>
            <w:hideMark/>
          </w:tcPr>
          <w:p w14:paraId="652BEFA2"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 </w:t>
            </w:r>
          </w:p>
        </w:tc>
      </w:tr>
      <w:tr w:rsidR="004C5BC5" w:rsidRPr="004C5BC5" w14:paraId="02F96B7C" w14:textId="77777777" w:rsidTr="004C5BC5">
        <w:trPr>
          <w:trHeight w:val="219"/>
          <w:jc w:val="center"/>
        </w:trPr>
        <w:tc>
          <w:tcPr>
            <w:tcW w:w="3278" w:type="dxa"/>
            <w:tcBorders>
              <w:top w:val="nil"/>
              <w:left w:val="nil"/>
              <w:bottom w:val="nil"/>
              <w:right w:val="nil"/>
            </w:tcBorders>
            <w:shd w:val="clear" w:color="000000" w:fill="F2F2F2"/>
            <w:vAlign w:val="center"/>
            <w:hideMark/>
          </w:tcPr>
          <w:p w14:paraId="2AD6F928" w14:textId="77777777" w:rsidR="004C5BC5" w:rsidRPr="004C5BC5" w:rsidRDefault="004C5BC5" w:rsidP="004C5BC5">
            <w:pPr>
              <w:spacing w:after="0" w:line="240" w:lineRule="auto"/>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Construcciones en Proceso en Bienes Propios</w:t>
            </w:r>
          </w:p>
        </w:tc>
        <w:tc>
          <w:tcPr>
            <w:tcW w:w="1863" w:type="dxa"/>
            <w:tcBorders>
              <w:top w:val="nil"/>
              <w:left w:val="nil"/>
              <w:bottom w:val="nil"/>
              <w:right w:val="nil"/>
            </w:tcBorders>
            <w:shd w:val="clear" w:color="000000" w:fill="F2F2F2"/>
            <w:vAlign w:val="center"/>
            <w:hideMark/>
          </w:tcPr>
          <w:p w14:paraId="14212CEE"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2,260,695,910.4</w:t>
            </w:r>
          </w:p>
        </w:tc>
        <w:tc>
          <w:tcPr>
            <w:tcW w:w="1914" w:type="dxa"/>
            <w:tcBorders>
              <w:top w:val="nil"/>
              <w:left w:val="nil"/>
              <w:bottom w:val="nil"/>
              <w:right w:val="nil"/>
            </w:tcBorders>
            <w:shd w:val="clear" w:color="000000" w:fill="F2F2F2"/>
            <w:vAlign w:val="center"/>
            <w:hideMark/>
          </w:tcPr>
          <w:p w14:paraId="57C55F2E"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0</w:t>
            </w:r>
            <w:r w:rsidR="00D347BC">
              <w:rPr>
                <w:rFonts w:ascii="Montserrat" w:eastAsia="Times New Roman" w:hAnsi="Montserrat"/>
                <w:color w:val="000000"/>
                <w:sz w:val="15"/>
                <w:szCs w:val="15"/>
                <w:lang w:val="es-MX" w:eastAsia="es-MX"/>
              </w:rPr>
              <w:t>.0</w:t>
            </w:r>
          </w:p>
        </w:tc>
        <w:tc>
          <w:tcPr>
            <w:tcW w:w="1835" w:type="dxa"/>
            <w:tcBorders>
              <w:top w:val="nil"/>
              <w:left w:val="nil"/>
              <w:bottom w:val="nil"/>
              <w:right w:val="nil"/>
            </w:tcBorders>
            <w:shd w:val="clear" w:color="000000" w:fill="F2F2F2"/>
            <w:vAlign w:val="center"/>
            <w:hideMark/>
          </w:tcPr>
          <w:p w14:paraId="49E154CE"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2,260,695,910.4</w:t>
            </w:r>
          </w:p>
        </w:tc>
        <w:tc>
          <w:tcPr>
            <w:tcW w:w="1389" w:type="dxa"/>
            <w:tcBorders>
              <w:top w:val="nil"/>
              <w:left w:val="nil"/>
              <w:bottom w:val="nil"/>
              <w:right w:val="nil"/>
            </w:tcBorders>
            <w:shd w:val="clear" w:color="000000" w:fill="F2F2F2"/>
            <w:vAlign w:val="center"/>
            <w:hideMark/>
          </w:tcPr>
          <w:p w14:paraId="647F4EA8" w14:textId="77777777" w:rsidR="004C5BC5" w:rsidRPr="004C5BC5" w:rsidRDefault="004C5BC5" w:rsidP="004C5BC5">
            <w:pPr>
              <w:spacing w:after="0" w:line="240" w:lineRule="auto"/>
              <w:jc w:val="right"/>
              <w:rPr>
                <w:rFonts w:ascii="Montserrat" w:eastAsia="Times New Roman" w:hAnsi="Montserrat"/>
                <w:color w:val="000000"/>
                <w:sz w:val="15"/>
                <w:szCs w:val="15"/>
                <w:lang w:val="es-MX" w:eastAsia="es-MX"/>
              </w:rPr>
            </w:pPr>
            <w:r w:rsidRPr="004C5BC5">
              <w:rPr>
                <w:rFonts w:ascii="Montserrat" w:eastAsia="Times New Roman" w:hAnsi="Montserrat"/>
                <w:color w:val="000000"/>
                <w:sz w:val="15"/>
                <w:szCs w:val="15"/>
                <w:lang w:val="es-MX" w:eastAsia="es-MX"/>
              </w:rPr>
              <w:t> </w:t>
            </w:r>
          </w:p>
        </w:tc>
      </w:tr>
      <w:tr w:rsidR="004C5BC5" w:rsidRPr="004C5BC5" w14:paraId="3ACFD664" w14:textId="77777777" w:rsidTr="004C5BC5">
        <w:trPr>
          <w:trHeight w:val="295"/>
          <w:jc w:val="center"/>
        </w:trPr>
        <w:tc>
          <w:tcPr>
            <w:tcW w:w="3278" w:type="dxa"/>
            <w:tcBorders>
              <w:top w:val="nil"/>
              <w:left w:val="nil"/>
              <w:bottom w:val="single" w:sz="12" w:space="0" w:color="808080"/>
              <w:right w:val="nil"/>
            </w:tcBorders>
            <w:shd w:val="clear" w:color="000000" w:fill="F2F2F2"/>
            <w:vAlign w:val="center"/>
            <w:hideMark/>
          </w:tcPr>
          <w:p w14:paraId="359D2F77" w14:textId="77777777" w:rsidR="004C5BC5" w:rsidRPr="004C5BC5" w:rsidRDefault="004C5BC5" w:rsidP="004C5BC5">
            <w:pPr>
              <w:spacing w:after="0" w:line="240" w:lineRule="auto"/>
              <w:rPr>
                <w:rFonts w:ascii="Montserrat" w:eastAsia="Times New Roman" w:hAnsi="Montserrat"/>
                <w:b/>
                <w:bCs/>
                <w:color w:val="000000"/>
                <w:sz w:val="15"/>
                <w:szCs w:val="15"/>
                <w:lang w:val="es-MX" w:eastAsia="es-MX"/>
              </w:rPr>
            </w:pPr>
            <w:r w:rsidRPr="004C5BC5">
              <w:rPr>
                <w:rFonts w:ascii="Montserrat" w:eastAsia="Times New Roman" w:hAnsi="Montserrat"/>
                <w:b/>
                <w:bCs/>
                <w:color w:val="000000"/>
                <w:sz w:val="15"/>
                <w:szCs w:val="15"/>
                <w:lang w:val="es-MX" w:eastAsia="es-MX"/>
              </w:rPr>
              <w:t>Total Bienes Inmuebles, Infraestructura y Construcciones en Proceso</w:t>
            </w:r>
          </w:p>
        </w:tc>
        <w:tc>
          <w:tcPr>
            <w:tcW w:w="1863" w:type="dxa"/>
            <w:tcBorders>
              <w:top w:val="nil"/>
              <w:left w:val="nil"/>
              <w:bottom w:val="single" w:sz="12" w:space="0" w:color="808080"/>
              <w:right w:val="nil"/>
            </w:tcBorders>
            <w:shd w:val="clear" w:color="000000" w:fill="F2F2F2"/>
            <w:vAlign w:val="center"/>
            <w:hideMark/>
          </w:tcPr>
          <w:p w14:paraId="6A32C3A5" w14:textId="77777777" w:rsidR="004C5BC5" w:rsidRPr="004C5BC5" w:rsidRDefault="004C5BC5" w:rsidP="004C5BC5">
            <w:pPr>
              <w:spacing w:after="0" w:line="240" w:lineRule="auto"/>
              <w:jc w:val="right"/>
              <w:rPr>
                <w:rFonts w:ascii="Montserrat" w:eastAsia="Times New Roman" w:hAnsi="Montserrat"/>
                <w:b/>
                <w:bCs/>
                <w:color w:val="000000"/>
                <w:sz w:val="15"/>
                <w:szCs w:val="15"/>
                <w:lang w:val="es-MX" w:eastAsia="es-MX"/>
              </w:rPr>
            </w:pPr>
            <w:r w:rsidRPr="004C5BC5">
              <w:rPr>
                <w:rFonts w:ascii="Montserrat" w:eastAsia="Times New Roman" w:hAnsi="Montserrat"/>
                <w:b/>
                <w:bCs/>
                <w:color w:val="000000"/>
                <w:sz w:val="15"/>
                <w:szCs w:val="15"/>
                <w:lang w:val="es-MX" w:eastAsia="es-MX"/>
              </w:rPr>
              <w:t>129,382,017,328.6</w:t>
            </w:r>
          </w:p>
        </w:tc>
        <w:tc>
          <w:tcPr>
            <w:tcW w:w="1914" w:type="dxa"/>
            <w:tcBorders>
              <w:top w:val="nil"/>
              <w:left w:val="nil"/>
              <w:bottom w:val="single" w:sz="12" w:space="0" w:color="808080"/>
              <w:right w:val="nil"/>
            </w:tcBorders>
            <w:shd w:val="clear" w:color="000000" w:fill="F2F2F2"/>
            <w:vAlign w:val="center"/>
            <w:hideMark/>
          </w:tcPr>
          <w:p w14:paraId="38887280" w14:textId="77777777" w:rsidR="004C5BC5" w:rsidRPr="004C5BC5" w:rsidRDefault="004C5BC5" w:rsidP="004C5BC5">
            <w:pPr>
              <w:spacing w:after="0" w:line="240" w:lineRule="auto"/>
              <w:jc w:val="right"/>
              <w:rPr>
                <w:rFonts w:ascii="Montserrat" w:eastAsia="Times New Roman" w:hAnsi="Montserrat"/>
                <w:b/>
                <w:bCs/>
                <w:color w:val="000000"/>
                <w:sz w:val="15"/>
                <w:szCs w:val="15"/>
                <w:lang w:val="es-MX" w:eastAsia="es-MX"/>
              </w:rPr>
            </w:pPr>
            <w:r w:rsidRPr="004C5BC5">
              <w:rPr>
                <w:rFonts w:ascii="Montserrat" w:eastAsia="Times New Roman" w:hAnsi="Montserrat"/>
                <w:b/>
                <w:bCs/>
                <w:color w:val="000000"/>
                <w:sz w:val="15"/>
                <w:szCs w:val="15"/>
                <w:lang w:val="es-MX" w:eastAsia="es-MX"/>
              </w:rPr>
              <w:t>-28,428,016,210.8</w:t>
            </w:r>
          </w:p>
        </w:tc>
        <w:tc>
          <w:tcPr>
            <w:tcW w:w="1835" w:type="dxa"/>
            <w:tcBorders>
              <w:top w:val="nil"/>
              <w:left w:val="nil"/>
              <w:bottom w:val="single" w:sz="12" w:space="0" w:color="808080"/>
              <w:right w:val="nil"/>
            </w:tcBorders>
            <w:shd w:val="clear" w:color="000000" w:fill="F2F2F2"/>
            <w:vAlign w:val="center"/>
            <w:hideMark/>
          </w:tcPr>
          <w:p w14:paraId="659D5F01" w14:textId="77777777" w:rsidR="004C5BC5" w:rsidRPr="004C5BC5" w:rsidRDefault="004C5BC5" w:rsidP="004C5BC5">
            <w:pPr>
              <w:spacing w:after="0" w:line="240" w:lineRule="auto"/>
              <w:jc w:val="right"/>
              <w:rPr>
                <w:rFonts w:ascii="Montserrat" w:eastAsia="Times New Roman" w:hAnsi="Montserrat"/>
                <w:b/>
                <w:bCs/>
                <w:color w:val="000000"/>
                <w:sz w:val="15"/>
                <w:szCs w:val="15"/>
                <w:lang w:val="es-MX" w:eastAsia="es-MX"/>
              </w:rPr>
            </w:pPr>
            <w:r w:rsidRPr="004C5BC5">
              <w:rPr>
                <w:rFonts w:ascii="Montserrat" w:eastAsia="Times New Roman" w:hAnsi="Montserrat"/>
                <w:b/>
                <w:bCs/>
                <w:color w:val="000000"/>
                <w:sz w:val="15"/>
                <w:szCs w:val="15"/>
                <w:lang w:val="es-MX" w:eastAsia="es-MX"/>
              </w:rPr>
              <w:t>100,954,001,117.8</w:t>
            </w:r>
          </w:p>
        </w:tc>
        <w:tc>
          <w:tcPr>
            <w:tcW w:w="1389" w:type="dxa"/>
            <w:tcBorders>
              <w:top w:val="nil"/>
              <w:left w:val="nil"/>
              <w:bottom w:val="single" w:sz="12" w:space="0" w:color="808080"/>
              <w:right w:val="nil"/>
            </w:tcBorders>
            <w:shd w:val="clear" w:color="000000" w:fill="F2F2F2"/>
            <w:vAlign w:val="center"/>
            <w:hideMark/>
          </w:tcPr>
          <w:p w14:paraId="6152A6A4" w14:textId="77777777" w:rsidR="004C5BC5" w:rsidRPr="004C5BC5" w:rsidRDefault="004C5BC5" w:rsidP="004C5BC5">
            <w:pPr>
              <w:spacing w:after="0" w:line="240" w:lineRule="auto"/>
              <w:jc w:val="right"/>
              <w:rPr>
                <w:rFonts w:ascii="Montserrat" w:eastAsia="Times New Roman" w:hAnsi="Montserrat"/>
                <w:b/>
                <w:bCs/>
                <w:color w:val="000000"/>
                <w:sz w:val="15"/>
                <w:szCs w:val="15"/>
                <w:lang w:val="es-MX" w:eastAsia="es-MX"/>
              </w:rPr>
            </w:pPr>
            <w:r w:rsidRPr="004C5BC5">
              <w:rPr>
                <w:rFonts w:ascii="Montserrat" w:eastAsia="Times New Roman" w:hAnsi="Montserrat"/>
                <w:b/>
                <w:bCs/>
                <w:color w:val="000000"/>
                <w:sz w:val="15"/>
                <w:szCs w:val="15"/>
                <w:lang w:val="es-MX" w:eastAsia="es-MX"/>
              </w:rPr>
              <w:t> </w:t>
            </w:r>
          </w:p>
        </w:tc>
      </w:tr>
    </w:tbl>
    <w:p w14:paraId="52609AFC" w14:textId="77777777" w:rsidR="00FD30A2" w:rsidRDefault="00FD30A2" w:rsidP="004B1F81">
      <w:pPr>
        <w:pStyle w:val="TEXTONORMAL"/>
      </w:pPr>
    </w:p>
    <w:p w14:paraId="5F269B86" w14:textId="77777777" w:rsidR="00DE4AB1" w:rsidRDefault="00DE4AB1" w:rsidP="004B1F81">
      <w:pPr>
        <w:pStyle w:val="TEXTONORMAL"/>
      </w:pPr>
    </w:p>
    <w:tbl>
      <w:tblPr>
        <w:tblW w:w="10291" w:type="dxa"/>
        <w:jc w:val="center"/>
        <w:tblCellMar>
          <w:left w:w="70" w:type="dxa"/>
          <w:right w:w="70" w:type="dxa"/>
        </w:tblCellMar>
        <w:tblLook w:val="04A0" w:firstRow="1" w:lastRow="0" w:firstColumn="1" w:lastColumn="0" w:noHBand="0" w:noVBand="1"/>
      </w:tblPr>
      <w:tblGrid>
        <w:gridCol w:w="4016"/>
        <w:gridCol w:w="1672"/>
        <w:gridCol w:w="1701"/>
        <w:gridCol w:w="1526"/>
        <w:gridCol w:w="1376"/>
      </w:tblGrid>
      <w:tr w:rsidR="009D5C48" w:rsidRPr="005F27B4" w14:paraId="3AD72162" w14:textId="77777777" w:rsidTr="004F0BE0">
        <w:trPr>
          <w:trHeight w:val="122"/>
          <w:jc w:val="center"/>
        </w:trPr>
        <w:tc>
          <w:tcPr>
            <w:tcW w:w="401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72945AF"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275"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35633AE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5F27B4" w14:paraId="10A811F0" w14:textId="77777777" w:rsidTr="004F0BE0">
        <w:trPr>
          <w:trHeight w:val="122"/>
          <w:jc w:val="center"/>
        </w:trPr>
        <w:tc>
          <w:tcPr>
            <w:tcW w:w="4016" w:type="dxa"/>
            <w:vMerge/>
            <w:tcBorders>
              <w:top w:val="single" w:sz="12" w:space="0" w:color="808080"/>
              <w:left w:val="single" w:sz="12" w:space="0" w:color="FFFFFF"/>
              <w:bottom w:val="double" w:sz="6" w:space="0" w:color="808080"/>
              <w:right w:val="single" w:sz="12" w:space="0" w:color="FFFFFF"/>
            </w:tcBorders>
            <w:vAlign w:val="center"/>
            <w:hideMark/>
          </w:tcPr>
          <w:p w14:paraId="6A287D4C"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275"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2E5BBE8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5F27B4" w14:paraId="32FD0607" w14:textId="77777777" w:rsidTr="004F0BE0">
        <w:trPr>
          <w:trHeight w:val="200"/>
          <w:jc w:val="center"/>
        </w:trPr>
        <w:tc>
          <w:tcPr>
            <w:tcW w:w="4016" w:type="dxa"/>
            <w:vMerge/>
            <w:tcBorders>
              <w:top w:val="single" w:sz="12" w:space="0" w:color="808080"/>
              <w:left w:val="single" w:sz="12" w:space="0" w:color="FFFFFF"/>
              <w:bottom w:val="double" w:sz="6" w:space="0" w:color="808080"/>
              <w:right w:val="single" w:sz="12" w:space="0" w:color="FFFFFF"/>
            </w:tcBorders>
            <w:vAlign w:val="center"/>
            <w:hideMark/>
          </w:tcPr>
          <w:p w14:paraId="1AC4EB1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672" w:type="dxa"/>
            <w:tcBorders>
              <w:top w:val="nil"/>
              <w:left w:val="nil"/>
              <w:bottom w:val="double" w:sz="6" w:space="0" w:color="808080"/>
              <w:right w:val="single" w:sz="12" w:space="0" w:color="FFFFFF"/>
            </w:tcBorders>
            <w:shd w:val="clear" w:color="000000" w:fill="D4C19C"/>
            <w:vAlign w:val="center"/>
            <w:hideMark/>
          </w:tcPr>
          <w:p w14:paraId="0F7AE4F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701" w:type="dxa"/>
            <w:tcBorders>
              <w:top w:val="nil"/>
              <w:left w:val="nil"/>
              <w:bottom w:val="double" w:sz="6" w:space="0" w:color="808080"/>
              <w:right w:val="single" w:sz="12" w:space="0" w:color="FFFFFF"/>
            </w:tcBorders>
            <w:shd w:val="clear" w:color="000000" w:fill="D4C19C"/>
            <w:vAlign w:val="center"/>
            <w:hideMark/>
          </w:tcPr>
          <w:p w14:paraId="78AD8507"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26" w:type="dxa"/>
            <w:tcBorders>
              <w:top w:val="nil"/>
              <w:left w:val="nil"/>
              <w:bottom w:val="double" w:sz="6" w:space="0" w:color="808080"/>
              <w:right w:val="single" w:sz="12" w:space="0" w:color="FFFFFF"/>
            </w:tcBorders>
            <w:shd w:val="clear" w:color="000000" w:fill="D4C19C"/>
            <w:vAlign w:val="center"/>
            <w:hideMark/>
          </w:tcPr>
          <w:p w14:paraId="33D5667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376" w:type="dxa"/>
            <w:tcBorders>
              <w:top w:val="nil"/>
              <w:left w:val="nil"/>
              <w:bottom w:val="double" w:sz="6" w:space="0" w:color="808080"/>
              <w:right w:val="single" w:sz="12" w:space="0" w:color="FFFFFF"/>
            </w:tcBorders>
            <w:shd w:val="clear" w:color="000000" w:fill="D4C19C"/>
            <w:vAlign w:val="center"/>
            <w:hideMark/>
          </w:tcPr>
          <w:p w14:paraId="1CC7AB2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5F27B4" w14:paraId="1BE2AF05" w14:textId="77777777" w:rsidTr="004F0BE0">
        <w:trPr>
          <w:trHeight w:val="142"/>
          <w:jc w:val="center"/>
        </w:trPr>
        <w:tc>
          <w:tcPr>
            <w:tcW w:w="4016" w:type="dxa"/>
            <w:tcBorders>
              <w:top w:val="nil"/>
              <w:left w:val="nil"/>
              <w:bottom w:val="nil"/>
              <w:right w:val="nil"/>
            </w:tcBorders>
            <w:shd w:val="clear" w:color="000000" w:fill="F2F2F2"/>
            <w:vAlign w:val="center"/>
            <w:hideMark/>
          </w:tcPr>
          <w:p w14:paraId="2FDD09BE"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Edificios no Habitacionales</w:t>
            </w:r>
          </w:p>
        </w:tc>
        <w:tc>
          <w:tcPr>
            <w:tcW w:w="1672" w:type="dxa"/>
            <w:tcBorders>
              <w:top w:val="nil"/>
              <w:left w:val="nil"/>
              <w:bottom w:val="nil"/>
              <w:right w:val="nil"/>
            </w:tcBorders>
            <w:shd w:val="clear" w:color="000000" w:fill="F2F2F2"/>
            <w:vAlign w:val="center"/>
            <w:hideMark/>
          </w:tcPr>
          <w:p w14:paraId="4DCB97A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101,141,569,691.5</w:t>
            </w:r>
          </w:p>
        </w:tc>
        <w:tc>
          <w:tcPr>
            <w:tcW w:w="1701" w:type="dxa"/>
            <w:tcBorders>
              <w:top w:val="nil"/>
              <w:left w:val="nil"/>
              <w:bottom w:val="nil"/>
              <w:right w:val="nil"/>
            </w:tcBorders>
            <w:shd w:val="clear" w:color="000000" w:fill="F2F2F2"/>
            <w:vAlign w:val="center"/>
            <w:hideMark/>
          </w:tcPr>
          <w:p w14:paraId="16852B5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-27,891,951,437.8</w:t>
            </w:r>
          </w:p>
        </w:tc>
        <w:tc>
          <w:tcPr>
            <w:tcW w:w="1526" w:type="dxa"/>
            <w:tcBorders>
              <w:top w:val="nil"/>
              <w:left w:val="nil"/>
              <w:bottom w:val="nil"/>
              <w:right w:val="nil"/>
            </w:tcBorders>
            <w:shd w:val="clear" w:color="000000" w:fill="F2F2F2"/>
            <w:vAlign w:val="center"/>
            <w:hideMark/>
          </w:tcPr>
          <w:p w14:paraId="0DDCB4B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73,249,618,253.7</w:t>
            </w:r>
          </w:p>
        </w:tc>
        <w:tc>
          <w:tcPr>
            <w:tcW w:w="1376" w:type="dxa"/>
            <w:tcBorders>
              <w:top w:val="nil"/>
              <w:left w:val="nil"/>
              <w:bottom w:val="nil"/>
              <w:right w:val="nil"/>
            </w:tcBorders>
            <w:shd w:val="clear" w:color="000000" w:fill="F2F2F2"/>
            <w:vAlign w:val="center"/>
            <w:hideMark/>
          </w:tcPr>
          <w:p w14:paraId="670DEA4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66.66</w:t>
            </w:r>
          </w:p>
        </w:tc>
      </w:tr>
      <w:tr w:rsidR="009D5C48" w:rsidRPr="005F27B4" w14:paraId="36E96777" w14:textId="77777777" w:rsidTr="004F0BE0">
        <w:trPr>
          <w:trHeight w:val="111"/>
          <w:jc w:val="center"/>
        </w:trPr>
        <w:tc>
          <w:tcPr>
            <w:tcW w:w="4016" w:type="dxa"/>
            <w:tcBorders>
              <w:top w:val="nil"/>
              <w:left w:val="nil"/>
              <w:bottom w:val="nil"/>
              <w:right w:val="nil"/>
            </w:tcBorders>
            <w:shd w:val="clear" w:color="000000" w:fill="F2F2F2"/>
            <w:vAlign w:val="center"/>
            <w:hideMark/>
          </w:tcPr>
          <w:p w14:paraId="62610FE2"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Terrenos</w:t>
            </w:r>
          </w:p>
        </w:tc>
        <w:tc>
          <w:tcPr>
            <w:tcW w:w="1672" w:type="dxa"/>
            <w:tcBorders>
              <w:top w:val="nil"/>
              <w:left w:val="nil"/>
              <w:bottom w:val="nil"/>
              <w:right w:val="nil"/>
            </w:tcBorders>
            <w:shd w:val="clear" w:color="000000" w:fill="F2F2F2"/>
            <w:vAlign w:val="center"/>
            <w:hideMark/>
          </w:tcPr>
          <w:p w14:paraId="40AB2C5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23,403,163,308.3</w:t>
            </w:r>
          </w:p>
        </w:tc>
        <w:tc>
          <w:tcPr>
            <w:tcW w:w="1701" w:type="dxa"/>
            <w:tcBorders>
              <w:top w:val="nil"/>
              <w:left w:val="nil"/>
              <w:bottom w:val="nil"/>
              <w:right w:val="nil"/>
            </w:tcBorders>
            <w:shd w:val="clear" w:color="000000" w:fill="F2F2F2"/>
            <w:vAlign w:val="center"/>
            <w:hideMark/>
          </w:tcPr>
          <w:p w14:paraId="01D1CEC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6" w:type="dxa"/>
            <w:tcBorders>
              <w:top w:val="nil"/>
              <w:left w:val="nil"/>
              <w:bottom w:val="nil"/>
              <w:right w:val="nil"/>
            </w:tcBorders>
            <w:shd w:val="clear" w:color="000000" w:fill="F2F2F2"/>
            <w:vAlign w:val="center"/>
            <w:hideMark/>
          </w:tcPr>
          <w:p w14:paraId="68F60D0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23,403,163,308.3</w:t>
            </w:r>
          </w:p>
        </w:tc>
        <w:tc>
          <w:tcPr>
            <w:tcW w:w="1376" w:type="dxa"/>
            <w:tcBorders>
              <w:top w:val="nil"/>
              <w:left w:val="nil"/>
              <w:bottom w:val="nil"/>
              <w:right w:val="nil"/>
            </w:tcBorders>
            <w:shd w:val="clear" w:color="000000" w:fill="F2F2F2"/>
            <w:vAlign w:val="center"/>
            <w:hideMark/>
          </w:tcPr>
          <w:p w14:paraId="425E4E2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2564B539" w14:textId="77777777" w:rsidTr="004F0BE0">
        <w:trPr>
          <w:trHeight w:val="163"/>
          <w:jc w:val="center"/>
        </w:trPr>
        <w:tc>
          <w:tcPr>
            <w:tcW w:w="4016" w:type="dxa"/>
            <w:tcBorders>
              <w:top w:val="nil"/>
              <w:left w:val="nil"/>
              <w:bottom w:val="nil"/>
              <w:right w:val="nil"/>
            </w:tcBorders>
            <w:shd w:val="clear" w:color="000000" w:fill="F2F2F2"/>
            <w:vAlign w:val="center"/>
            <w:hideMark/>
          </w:tcPr>
          <w:p w14:paraId="333321A3"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Construcciones en Proceso en Bienes Propios</w:t>
            </w:r>
          </w:p>
        </w:tc>
        <w:tc>
          <w:tcPr>
            <w:tcW w:w="1672" w:type="dxa"/>
            <w:tcBorders>
              <w:top w:val="nil"/>
              <w:left w:val="nil"/>
              <w:bottom w:val="nil"/>
              <w:right w:val="nil"/>
            </w:tcBorders>
            <w:shd w:val="clear" w:color="000000" w:fill="F2F2F2"/>
            <w:vAlign w:val="center"/>
            <w:hideMark/>
          </w:tcPr>
          <w:p w14:paraId="4B9E4926"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4,082,828,619.1</w:t>
            </w:r>
          </w:p>
        </w:tc>
        <w:tc>
          <w:tcPr>
            <w:tcW w:w="1701" w:type="dxa"/>
            <w:tcBorders>
              <w:top w:val="nil"/>
              <w:left w:val="nil"/>
              <w:bottom w:val="nil"/>
              <w:right w:val="nil"/>
            </w:tcBorders>
            <w:shd w:val="clear" w:color="000000" w:fill="F2F2F2"/>
            <w:vAlign w:val="center"/>
            <w:hideMark/>
          </w:tcPr>
          <w:p w14:paraId="126915F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6" w:type="dxa"/>
            <w:tcBorders>
              <w:top w:val="nil"/>
              <w:left w:val="nil"/>
              <w:bottom w:val="nil"/>
              <w:right w:val="nil"/>
            </w:tcBorders>
            <w:shd w:val="clear" w:color="000000" w:fill="F2F2F2"/>
            <w:vAlign w:val="center"/>
            <w:hideMark/>
          </w:tcPr>
          <w:p w14:paraId="647C726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4,082,828,619.1</w:t>
            </w:r>
          </w:p>
        </w:tc>
        <w:tc>
          <w:tcPr>
            <w:tcW w:w="1376" w:type="dxa"/>
            <w:tcBorders>
              <w:top w:val="nil"/>
              <w:left w:val="nil"/>
              <w:bottom w:val="nil"/>
              <w:right w:val="nil"/>
            </w:tcBorders>
            <w:shd w:val="clear" w:color="000000" w:fill="F2F2F2"/>
            <w:vAlign w:val="center"/>
            <w:hideMark/>
          </w:tcPr>
          <w:p w14:paraId="153ECDA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760977B9" w14:textId="77777777" w:rsidTr="004F0BE0">
        <w:trPr>
          <w:trHeight w:val="310"/>
          <w:jc w:val="center"/>
        </w:trPr>
        <w:tc>
          <w:tcPr>
            <w:tcW w:w="4016" w:type="dxa"/>
            <w:tcBorders>
              <w:top w:val="nil"/>
              <w:left w:val="nil"/>
              <w:bottom w:val="single" w:sz="12" w:space="0" w:color="808080"/>
              <w:right w:val="nil"/>
            </w:tcBorders>
            <w:shd w:val="clear" w:color="000000" w:fill="F2F2F2"/>
            <w:vAlign w:val="center"/>
            <w:hideMark/>
          </w:tcPr>
          <w:p w14:paraId="2389039B"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r w:rsidRPr="001F7786">
              <w:rPr>
                <w:rFonts w:ascii="Montserrat" w:eastAsia="Times New Roman" w:hAnsi="Montserrat"/>
                <w:b/>
                <w:bCs/>
                <w:color w:val="000000"/>
                <w:sz w:val="15"/>
                <w:szCs w:val="15"/>
                <w:lang w:val="es-MX" w:eastAsia="es-MX"/>
              </w:rPr>
              <w:t>Total Bienes Inmuebles, Infraestructura y Construcciones en Proceso</w:t>
            </w:r>
          </w:p>
        </w:tc>
        <w:tc>
          <w:tcPr>
            <w:tcW w:w="1672" w:type="dxa"/>
            <w:tcBorders>
              <w:top w:val="nil"/>
              <w:left w:val="nil"/>
              <w:bottom w:val="single" w:sz="12" w:space="0" w:color="808080"/>
              <w:right w:val="nil"/>
            </w:tcBorders>
            <w:shd w:val="clear" w:color="000000" w:fill="F2F2F2"/>
            <w:vAlign w:val="center"/>
            <w:hideMark/>
          </w:tcPr>
          <w:p w14:paraId="5A5C181D"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128,627,561,618.9</w:t>
            </w:r>
          </w:p>
        </w:tc>
        <w:tc>
          <w:tcPr>
            <w:tcW w:w="1701" w:type="dxa"/>
            <w:tcBorders>
              <w:top w:val="nil"/>
              <w:left w:val="nil"/>
              <w:bottom w:val="single" w:sz="12" w:space="0" w:color="808080"/>
              <w:right w:val="nil"/>
            </w:tcBorders>
            <w:shd w:val="clear" w:color="000000" w:fill="F2F2F2"/>
            <w:vAlign w:val="center"/>
            <w:hideMark/>
          </w:tcPr>
          <w:p w14:paraId="1A160354"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-27,891,951,437.8</w:t>
            </w:r>
          </w:p>
        </w:tc>
        <w:tc>
          <w:tcPr>
            <w:tcW w:w="1526" w:type="dxa"/>
            <w:tcBorders>
              <w:top w:val="nil"/>
              <w:left w:val="nil"/>
              <w:bottom w:val="single" w:sz="12" w:space="0" w:color="808080"/>
              <w:right w:val="nil"/>
            </w:tcBorders>
            <w:shd w:val="clear" w:color="000000" w:fill="F2F2F2"/>
            <w:vAlign w:val="center"/>
            <w:hideMark/>
          </w:tcPr>
          <w:p w14:paraId="598A6B7B"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100,735,610,181.1</w:t>
            </w:r>
          </w:p>
        </w:tc>
        <w:tc>
          <w:tcPr>
            <w:tcW w:w="1376" w:type="dxa"/>
            <w:tcBorders>
              <w:top w:val="nil"/>
              <w:left w:val="nil"/>
              <w:bottom w:val="single" w:sz="12" w:space="0" w:color="808080"/>
              <w:right w:val="nil"/>
            </w:tcBorders>
            <w:shd w:val="clear" w:color="000000" w:fill="F2F2F2"/>
            <w:vAlign w:val="center"/>
            <w:hideMark/>
          </w:tcPr>
          <w:p w14:paraId="2E4A2FD7"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 </w:t>
            </w:r>
          </w:p>
          <w:p w14:paraId="6F1A22FE"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p w14:paraId="58BD6CF2"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tc>
      </w:tr>
    </w:tbl>
    <w:p w14:paraId="6442DF0E" w14:textId="77777777" w:rsidR="003E4923" w:rsidRPr="009D5C48" w:rsidRDefault="003E4923" w:rsidP="009D5C48">
      <w:pPr>
        <w:spacing w:after="0"/>
        <w:rPr>
          <w:vanish/>
        </w:rPr>
      </w:pPr>
    </w:p>
    <w:p w14:paraId="7473F6D2" w14:textId="77777777" w:rsidR="009D5C48" w:rsidRDefault="009D5C48" w:rsidP="009D5C48">
      <w:pPr>
        <w:pStyle w:val="TEXTONORMAL"/>
      </w:pPr>
    </w:p>
    <w:p w14:paraId="1FD0D538" w14:textId="77777777" w:rsidR="009D5C48" w:rsidRDefault="009D5C48" w:rsidP="004B1F81">
      <w:pPr>
        <w:pStyle w:val="TEXTONORMAL"/>
      </w:pPr>
      <w:r w:rsidRPr="00F31C17">
        <w:t>Los inmuebles con base al artículo 285 de la LSS, se consideran destinados al servicio público de carácter nacional del Seguro Social y tendrán el carácter de bienes de dominio público de la</w:t>
      </w:r>
      <w:r>
        <w:t xml:space="preserve"> Federación, toda vez que, so</w:t>
      </w:r>
      <w:r w:rsidRPr="00F31C17">
        <w:t>lo se podría disponer de ellos para cumplir con los fines previstos en la LSS y garantizar su viabilidad financiera en el largo plazo. Estos inmuebles; así como el mobiliario y equipo, se reconocen inicialmente a su valor de adquisición</w:t>
      </w:r>
      <w:r>
        <w:t>.</w:t>
      </w:r>
    </w:p>
    <w:p w14:paraId="299093CC" w14:textId="77777777" w:rsidR="002D2438" w:rsidRDefault="002D2438" w:rsidP="009D5C48">
      <w:pPr>
        <w:jc w:val="both"/>
        <w:rPr>
          <w:rFonts w:ascii="Montserrat" w:hAnsi="Montserrat"/>
          <w:sz w:val="18"/>
          <w:szCs w:val="18"/>
        </w:rPr>
      </w:pPr>
    </w:p>
    <w:p w14:paraId="2A82B368" w14:textId="77777777" w:rsidR="00F435A8" w:rsidRDefault="00F435A8" w:rsidP="009D5C48">
      <w:pPr>
        <w:jc w:val="both"/>
        <w:rPr>
          <w:rFonts w:ascii="Montserrat" w:hAnsi="Montserrat"/>
          <w:sz w:val="18"/>
          <w:szCs w:val="18"/>
        </w:rPr>
      </w:pPr>
    </w:p>
    <w:p w14:paraId="73295C64" w14:textId="77777777" w:rsidR="00F435A8" w:rsidRPr="001465AC" w:rsidRDefault="00F435A8" w:rsidP="009D5C48">
      <w:pPr>
        <w:jc w:val="both"/>
        <w:rPr>
          <w:rFonts w:ascii="Montserrat" w:hAnsi="Montserrat"/>
          <w:sz w:val="18"/>
          <w:szCs w:val="18"/>
        </w:rPr>
      </w:pPr>
    </w:p>
    <w:p w14:paraId="14CA70B3" w14:textId="77777777" w:rsidR="009D5C48" w:rsidRPr="003E4923" w:rsidRDefault="003C5EE9" w:rsidP="003F2A12">
      <w:pPr>
        <w:pStyle w:val="VIETAFLECHA"/>
        <w:numPr>
          <w:ilvl w:val="1"/>
          <w:numId w:val="28"/>
        </w:numPr>
        <w:ind w:left="357" w:hanging="357"/>
      </w:pPr>
      <w:r w:rsidRPr="008142BE">
        <w:rPr>
          <w:b/>
        </w:rPr>
        <w:lastRenderedPageBreak/>
        <w:t>1.10</w:t>
      </w:r>
      <w:r>
        <w:t xml:space="preserve"> </w:t>
      </w:r>
      <w:r w:rsidR="009D5C48" w:rsidRPr="003E4923">
        <w:t>Bienes Muebles</w:t>
      </w:r>
    </w:p>
    <w:p w14:paraId="35524CFC" w14:textId="77777777" w:rsidR="003032BB" w:rsidRDefault="004B4128" w:rsidP="004B1F81">
      <w:pPr>
        <w:pStyle w:val="TEXTONORMAL"/>
      </w:pPr>
      <w:r>
        <w:t>Al 30</w:t>
      </w:r>
      <w:r w:rsidR="003032BB">
        <w:t xml:space="preserve"> de</w:t>
      </w:r>
      <w:r w:rsidR="00A0516C">
        <w:t xml:space="preserve"> septiembre</w:t>
      </w:r>
      <w:r w:rsidR="003032BB">
        <w:t xml:space="preserve"> de 2022</w:t>
      </w:r>
      <w:r w:rsidR="003032BB" w:rsidRPr="000B2CE4">
        <w:t xml:space="preserve"> y</w:t>
      </w:r>
      <w:r w:rsidR="003032BB">
        <w:t xml:space="preserve"> al</w:t>
      </w:r>
      <w:r w:rsidR="003032BB" w:rsidRPr="000B2CE4">
        <w:t xml:space="preserve"> </w:t>
      </w:r>
      <w:r w:rsidR="003032BB">
        <w:t>31 de diciembre de 2021</w:t>
      </w:r>
      <w:r w:rsidR="000C68DF">
        <w:t>,</w:t>
      </w:r>
      <w:r w:rsidR="003032BB">
        <w:t xml:space="preserve"> </w:t>
      </w:r>
      <w:r w:rsidR="009D5C48" w:rsidRPr="0030177F">
        <w:t>este rubro se integra de la siguiente manera:</w:t>
      </w:r>
    </w:p>
    <w:p w14:paraId="31601DBD" w14:textId="77777777" w:rsidR="003032BB" w:rsidRDefault="003032BB" w:rsidP="004B1F81">
      <w:pPr>
        <w:pStyle w:val="TEXTONORMAL"/>
      </w:pPr>
    </w:p>
    <w:tbl>
      <w:tblPr>
        <w:tblW w:w="10338" w:type="dxa"/>
        <w:jc w:val="center"/>
        <w:tblCellMar>
          <w:left w:w="70" w:type="dxa"/>
          <w:right w:w="70" w:type="dxa"/>
        </w:tblCellMar>
        <w:tblLook w:val="04A0" w:firstRow="1" w:lastRow="0" w:firstColumn="1" w:lastColumn="0" w:noHBand="0" w:noVBand="1"/>
      </w:tblPr>
      <w:tblGrid>
        <w:gridCol w:w="4229"/>
        <w:gridCol w:w="1519"/>
        <w:gridCol w:w="1502"/>
        <w:gridCol w:w="1569"/>
        <w:gridCol w:w="1519"/>
      </w:tblGrid>
      <w:tr w:rsidR="00534DFB" w:rsidRPr="00534DFB" w14:paraId="297D17B7" w14:textId="77777777" w:rsidTr="00534DFB">
        <w:trPr>
          <w:trHeight w:val="280"/>
          <w:jc w:val="center"/>
        </w:trPr>
        <w:tc>
          <w:tcPr>
            <w:tcW w:w="422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F61AC5B"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Concepto</w:t>
            </w:r>
          </w:p>
        </w:tc>
        <w:tc>
          <w:tcPr>
            <w:tcW w:w="6109"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711E10F2"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Cifras en pesos</w:t>
            </w:r>
          </w:p>
        </w:tc>
      </w:tr>
      <w:tr w:rsidR="00534DFB" w:rsidRPr="00534DFB" w14:paraId="66A583CF" w14:textId="77777777" w:rsidTr="00534DFB">
        <w:trPr>
          <w:trHeight w:val="280"/>
          <w:jc w:val="center"/>
        </w:trPr>
        <w:tc>
          <w:tcPr>
            <w:tcW w:w="4229" w:type="dxa"/>
            <w:vMerge/>
            <w:tcBorders>
              <w:top w:val="single" w:sz="12" w:space="0" w:color="808080"/>
              <w:left w:val="single" w:sz="12" w:space="0" w:color="FFFFFF"/>
              <w:bottom w:val="double" w:sz="6" w:space="0" w:color="808080"/>
              <w:right w:val="single" w:sz="12" w:space="0" w:color="FFFFFF"/>
            </w:tcBorders>
            <w:vAlign w:val="center"/>
            <w:hideMark/>
          </w:tcPr>
          <w:p w14:paraId="3F038E70" w14:textId="77777777" w:rsidR="00534DFB" w:rsidRPr="00534DFB" w:rsidRDefault="00534DFB" w:rsidP="00534DFB">
            <w:pPr>
              <w:spacing w:after="0" w:line="240" w:lineRule="auto"/>
              <w:rPr>
                <w:rFonts w:ascii="Montserrat" w:eastAsia="Times New Roman" w:hAnsi="Montserrat"/>
                <w:b/>
                <w:bCs/>
                <w:color w:val="FFFFFF"/>
                <w:sz w:val="16"/>
                <w:szCs w:val="16"/>
                <w:lang w:val="es-MX" w:eastAsia="es-MX"/>
              </w:rPr>
            </w:pPr>
          </w:p>
        </w:tc>
        <w:tc>
          <w:tcPr>
            <w:tcW w:w="6109"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067C390E"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30 de septiembre de 2022</w:t>
            </w:r>
          </w:p>
        </w:tc>
      </w:tr>
      <w:tr w:rsidR="00534DFB" w:rsidRPr="00534DFB" w14:paraId="2ACC8425" w14:textId="77777777" w:rsidTr="00534DFB">
        <w:trPr>
          <w:trHeight w:val="458"/>
          <w:jc w:val="center"/>
        </w:trPr>
        <w:tc>
          <w:tcPr>
            <w:tcW w:w="4229" w:type="dxa"/>
            <w:vMerge/>
            <w:tcBorders>
              <w:top w:val="single" w:sz="12" w:space="0" w:color="808080"/>
              <w:left w:val="single" w:sz="12" w:space="0" w:color="FFFFFF"/>
              <w:bottom w:val="double" w:sz="6" w:space="0" w:color="808080"/>
              <w:right w:val="single" w:sz="12" w:space="0" w:color="FFFFFF"/>
            </w:tcBorders>
            <w:vAlign w:val="center"/>
            <w:hideMark/>
          </w:tcPr>
          <w:p w14:paraId="76BE7F1A" w14:textId="77777777" w:rsidR="00534DFB" w:rsidRPr="00534DFB" w:rsidRDefault="00534DFB" w:rsidP="00534DFB">
            <w:pPr>
              <w:spacing w:after="0" w:line="240" w:lineRule="auto"/>
              <w:rPr>
                <w:rFonts w:ascii="Montserrat" w:eastAsia="Times New Roman" w:hAnsi="Montserrat"/>
                <w:b/>
                <w:bCs/>
                <w:color w:val="FFFFFF"/>
                <w:sz w:val="16"/>
                <w:szCs w:val="16"/>
                <w:lang w:val="es-MX" w:eastAsia="es-MX"/>
              </w:rPr>
            </w:pPr>
          </w:p>
        </w:tc>
        <w:tc>
          <w:tcPr>
            <w:tcW w:w="1519" w:type="dxa"/>
            <w:tcBorders>
              <w:top w:val="nil"/>
              <w:left w:val="nil"/>
              <w:bottom w:val="double" w:sz="6" w:space="0" w:color="808080"/>
              <w:right w:val="single" w:sz="12" w:space="0" w:color="FFFFFF"/>
            </w:tcBorders>
            <w:shd w:val="clear" w:color="000000" w:fill="D4C19C"/>
            <w:vAlign w:val="center"/>
            <w:hideMark/>
          </w:tcPr>
          <w:p w14:paraId="051EFFA9"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Inversión</w:t>
            </w:r>
          </w:p>
        </w:tc>
        <w:tc>
          <w:tcPr>
            <w:tcW w:w="1502" w:type="dxa"/>
            <w:tcBorders>
              <w:top w:val="nil"/>
              <w:left w:val="nil"/>
              <w:bottom w:val="double" w:sz="6" w:space="0" w:color="808080"/>
              <w:right w:val="single" w:sz="12" w:space="0" w:color="FFFFFF"/>
            </w:tcBorders>
            <w:shd w:val="clear" w:color="000000" w:fill="D4C19C"/>
            <w:vAlign w:val="center"/>
            <w:hideMark/>
          </w:tcPr>
          <w:p w14:paraId="1142A993"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Depreciación acumulada</w:t>
            </w:r>
          </w:p>
        </w:tc>
        <w:tc>
          <w:tcPr>
            <w:tcW w:w="1569" w:type="dxa"/>
            <w:tcBorders>
              <w:top w:val="nil"/>
              <w:left w:val="nil"/>
              <w:bottom w:val="double" w:sz="6" w:space="0" w:color="808080"/>
              <w:right w:val="single" w:sz="12" w:space="0" w:color="FFFFFF"/>
            </w:tcBorders>
            <w:shd w:val="clear" w:color="000000" w:fill="D4C19C"/>
            <w:vAlign w:val="center"/>
            <w:hideMark/>
          </w:tcPr>
          <w:p w14:paraId="45702233"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Neto</w:t>
            </w:r>
          </w:p>
        </w:tc>
        <w:tc>
          <w:tcPr>
            <w:tcW w:w="1519" w:type="dxa"/>
            <w:tcBorders>
              <w:top w:val="nil"/>
              <w:left w:val="nil"/>
              <w:bottom w:val="double" w:sz="6" w:space="0" w:color="808080"/>
              <w:right w:val="single" w:sz="12" w:space="0" w:color="FFFFFF"/>
            </w:tcBorders>
            <w:shd w:val="clear" w:color="000000" w:fill="D4C19C"/>
            <w:vAlign w:val="center"/>
            <w:hideMark/>
          </w:tcPr>
          <w:p w14:paraId="79DCE866" w14:textId="77777777" w:rsidR="00534DFB" w:rsidRPr="00534DFB" w:rsidRDefault="00534DFB" w:rsidP="00534DFB">
            <w:pPr>
              <w:spacing w:after="0" w:line="240" w:lineRule="auto"/>
              <w:jc w:val="center"/>
              <w:rPr>
                <w:rFonts w:ascii="Montserrat" w:eastAsia="Times New Roman" w:hAnsi="Montserrat"/>
                <w:b/>
                <w:bCs/>
                <w:color w:val="FFFFFF"/>
                <w:sz w:val="16"/>
                <w:szCs w:val="16"/>
                <w:lang w:val="es-MX" w:eastAsia="es-MX"/>
              </w:rPr>
            </w:pPr>
            <w:r w:rsidRPr="00534DFB">
              <w:rPr>
                <w:rFonts w:ascii="Montserrat" w:eastAsia="Times New Roman" w:hAnsi="Montserrat"/>
                <w:b/>
                <w:bCs/>
                <w:color w:val="FFFFFF"/>
                <w:sz w:val="16"/>
                <w:szCs w:val="16"/>
                <w:lang w:val="es-MX" w:eastAsia="es-MX"/>
              </w:rPr>
              <w:t>Vida útil estimada en años</w:t>
            </w:r>
          </w:p>
        </w:tc>
      </w:tr>
      <w:tr w:rsidR="00534DFB" w:rsidRPr="00534DFB" w14:paraId="3A5E7918" w14:textId="77777777" w:rsidTr="00534DFB">
        <w:trPr>
          <w:trHeight w:val="267"/>
          <w:jc w:val="center"/>
        </w:trPr>
        <w:tc>
          <w:tcPr>
            <w:tcW w:w="4229" w:type="dxa"/>
            <w:tcBorders>
              <w:top w:val="nil"/>
              <w:left w:val="nil"/>
              <w:bottom w:val="nil"/>
              <w:right w:val="nil"/>
            </w:tcBorders>
            <w:shd w:val="clear" w:color="000000" w:fill="F2F2F2"/>
            <w:vAlign w:val="center"/>
            <w:hideMark/>
          </w:tcPr>
          <w:p w14:paraId="02F65949"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Equipo e Instrumental Médico y de Laboratorio</w:t>
            </w:r>
          </w:p>
        </w:tc>
        <w:tc>
          <w:tcPr>
            <w:tcW w:w="1519" w:type="dxa"/>
            <w:tcBorders>
              <w:top w:val="nil"/>
              <w:left w:val="nil"/>
              <w:bottom w:val="nil"/>
              <w:right w:val="nil"/>
            </w:tcBorders>
            <w:shd w:val="clear" w:color="000000" w:fill="F2F2F2"/>
            <w:vAlign w:val="center"/>
            <w:hideMark/>
          </w:tcPr>
          <w:p w14:paraId="3FCBF0D4"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29,460,638,303.1</w:t>
            </w:r>
          </w:p>
        </w:tc>
        <w:tc>
          <w:tcPr>
            <w:tcW w:w="1502" w:type="dxa"/>
            <w:tcBorders>
              <w:top w:val="nil"/>
              <w:left w:val="nil"/>
              <w:bottom w:val="nil"/>
              <w:right w:val="nil"/>
            </w:tcBorders>
            <w:shd w:val="clear" w:color="000000" w:fill="F2F2F2"/>
            <w:vAlign w:val="center"/>
            <w:hideMark/>
          </w:tcPr>
          <w:p w14:paraId="0DE2CE69"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-27,669,171,740.1</w:t>
            </w:r>
          </w:p>
        </w:tc>
        <w:tc>
          <w:tcPr>
            <w:tcW w:w="1569" w:type="dxa"/>
            <w:tcBorders>
              <w:top w:val="nil"/>
              <w:left w:val="nil"/>
              <w:bottom w:val="nil"/>
              <w:right w:val="nil"/>
            </w:tcBorders>
            <w:shd w:val="clear" w:color="000000" w:fill="F2F2F2"/>
            <w:vAlign w:val="center"/>
            <w:hideMark/>
          </w:tcPr>
          <w:p w14:paraId="51155102"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1,791,466,563.0</w:t>
            </w:r>
          </w:p>
        </w:tc>
        <w:tc>
          <w:tcPr>
            <w:tcW w:w="1519" w:type="dxa"/>
            <w:tcBorders>
              <w:top w:val="nil"/>
              <w:left w:val="nil"/>
              <w:bottom w:val="nil"/>
              <w:right w:val="nil"/>
            </w:tcBorders>
            <w:shd w:val="clear" w:color="000000" w:fill="F2F2F2"/>
            <w:vAlign w:val="center"/>
            <w:hideMark/>
          </w:tcPr>
          <w:p w14:paraId="39D1A2C7"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3.33</w:t>
            </w:r>
          </w:p>
        </w:tc>
      </w:tr>
      <w:tr w:rsidR="00534DFB" w:rsidRPr="00534DFB" w14:paraId="4B9926B1" w14:textId="77777777" w:rsidTr="00534DFB">
        <w:trPr>
          <w:trHeight w:val="255"/>
          <w:jc w:val="center"/>
        </w:trPr>
        <w:tc>
          <w:tcPr>
            <w:tcW w:w="4229" w:type="dxa"/>
            <w:tcBorders>
              <w:top w:val="nil"/>
              <w:left w:val="nil"/>
              <w:bottom w:val="nil"/>
              <w:right w:val="nil"/>
            </w:tcBorders>
            <w:shd w:val="clear" w:color="000000" w:fill="F2F2F2"/>
            <w:vAlign w:val="center"/>
            <w:hideMark/>
          </w:tcPr>
          <w:p w14:paraId="55586E86"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Mobiliario y Equipo de Administración</w:t>
            </w:r>
          </w:p>
        </w:tc>
        <w:tc>
          <w:tcPr>
            <w:tcW w:w="1519" w:type="dxa"/>
            <w:tcBorders>
              <w:top w:val="nil"/>
              <w:left w:val="nil"/>
              <w:bottom w:val="nil"/>
              <w:right w:val="nil"/>
            </w:tcBorders>
            <w:shd w:val="clear" w:color="000000" w:fill="F2F2F2"/>
            <w:vAlign w:val="center"/>
            <w:hideMark/>
          </w:tcPr>
          <w:p w14:paraId="3C94FE98"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13,943,869,153.3</w:t>
            </w:r>
          </w:p>
        </w:tc>
        <w:tc>
          <w:tcPr>
            <w:tcW w:w="1502" w:type="dxa"/>
            <w:tcBorders>
              <w:top w:val="nil"/>
              <w:left w:val="nil"/>
              <w:bottom w:val="nil"/>
              <w:right w:val="nil"/>
            </w:tcBorders>
            <w:shd w:val="clear" w:color="000000" w:fill="F2F2F2"/>
            <w:vAlign w:val="center"/>
            <w:hideMark/>
          </w:tcPr>
          <w:p w14:paraId="3AF7E6FC"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-11,751,693,779.3</w:t>
            </w:r>
          </w:p>
        </w:tc>
        <w:tc>
          <w:tcPr>
            <w:tcW w:w="1569" w:type="dxa"/>
            <w:tcBorders>
              <w:top w:val="nil"/>
              <w:left w:val="nil"/>
              <w:bottom w:val="nil"/>
              <w:right w:val="nil"/>
            </w:tcBorders>
            <w:shd w:val="clear" w:color="000000" w:fill="F2F2F2"/>
            <w:vAlign w:val="center"/>
            <w:hideMark/>
          </w:tcPr>
          <w:p w14:paraId="53651C40"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2,192,175,37</w:t>
            </w:r>
            <w:r w:rsidR="00310BF3">
              <w:rPr>
                <w:rFonts w:ascii="Montserrat" w:eastAsia="Times New Roman" w:hAnsi="Montserrat"/>
                <w:color w:val="000000"/>
                <w:sz w:val="15"/>
                <w:szCs w:val="15"/>
                <w:lang w:val="es-MX" w:eastAsia="es-MX"/>
              </w:rPr>
              <w:t>4.0</w:t>
            </w:r>
          </w:p>
        </w:tc>
        <w:tc>
          <w:tcPr>
            <w:tcW w:w="1519" w:type="dxa"/>
            <w:tcBorders>
              <w:top w:val="nil"/>
              <w:left w:val="nil"/>
              <w:bottom w:val="nil"/>
              <w:right w:val="nil"/>
            </w:tcBorders>
            <w:shd w:val="clear" w:color="000000" w:fill="F2F2F2"/>
            <w:vAlign w:val="center"/>
            <w:hideMark/>
          </w:tcPr>
          <w:p w14:paraId="68F9A0C2"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6.66</w:t>
            </w:r>
          </w:p>
        </w:tc>
      </w:tr>
      <w:tr w:rsidR="00534DFB" w:rsidRPr="00534DFB" w14:paraId="16644287" w14:textId="77777777" w:rsidTr="00534DFB">
        <w:trPr>
          <w:trHeight w:val="255"/>
          <w:jc w:val="center"/>
        </w:trPr>
        <w:tc>
          <w:tcPr>
            <w:tcW w:w="4229" w:type="dxa"/>
            <w:tcBorders>
              <w:top w:val="nil"/>
              <w:left w:val="nil"/>
              <w:bottom w:val="nil"/>
              <w:right w:val="nil"/>
            </w:tcBorders>
            <w:shd w:val="clear" w:color="000000" w:fill="F2F2F2"/>
            <w:vAlign w:val="center"/>
            <w:hideMark/>
          </w:tcPr>
          <w:p w14:paraId="4D6E2393"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 xml:space="preserve">Maquinaria, otros Equipos y Herramientas  </w:t>
            </w:r>
          </w:p>
        </w:tc>
        <w:tc>
          <w:tcPr>
            <w:tcW w:w="1519" w:type="dxa"/>
            <w:tcBorders>
              <w:top w:val="nil"/>
              <w:left w:val="nil"/>
              <w:bottom w:val="nil"/>
              <w:right w:val="nil"/>
            </w:tcBorders>
            <w:shd w:val="clear" w:color="000000" w:fill="F2F2F2"/>
            <w:vAlign w:val="center"/>
            <w:hideMark/>
          </w:tcPr>
          <w:p w14:paraId="15579EFD"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3,807,994,968.0</w:t>
            </w:r>
          </w:p>
        </w:tc>
        <w:tc>
          <w:tcPr>
            <w:tcW w:w="1502" w:type="dxa"/>
            <w:tcBorders>
              <w:top w:val="nil"/>
              <w:left w:val="nil"/>
              <w:bottom w:val="nil"/>
              <w:right w:val="nil"/>
            </w:tcBorders>
            <w:shd w:val="clear" w:color="000000" w:fill="F2F2F2"/>
            <w:vAlign w:val="center"/>
            <w:hideMark/>
          </w:tcPr>
          <w:p w14:paraId="5D7B088E"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-2,891,085,187.8</w:t>
            </w:r>
          </w:p>
        </w:tc>
        <w:tc>
          <w:tcPr>
            <w:tcW w:w="1569" w:type="dxa"/>
            <w:tcBorders>
              <w:top w:val="nil"/>
              <w:left w:val="nil"/>
              <w:bottom w:val="nil"/>
              <w:right w:val="nil"/>
            </w:tcBorders>
            <w:shd w:val="clear" w:color="000000" w:fill="F2F2F2"/>
            <w:vAlign w:val="center"/>
            <w:hideMark/>
          </w:tcPr>
          <w:p w14:paraId="540415B6"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916,909,780.</w:t>
            </w:r>
            <w:r w:rsidR="00310BF3">
              <w:rPr>
                <w:rFonts w:ascii="Montserrat" w:eastAsia="Times New Roman" w:hAnsi="Montserrat"/>
                <w:color w:val="000000"/>
                <w:sz w:val="15"/>
                <w:szCs w:val="15"/>
                <w:lang w:val="es-MX" w:eastAsia="es-MX"/>
              </w:rPr>
              <w:t>2</w:t>
            </w:r>
          </w:p>
        </w:tc>
        <w:tc>
          <w:tcPr>
            <w:tcW w:w="1519" w:type="dxa"/>
            <w:tcBorders>
              <w:top w:val="nil"/>
              <w:left w:val="nil"/>
              <w:bottom w:val="nil"/>
              <w:right w:val="nil"/>
            </w:tcBorders>
            <w:shd w:val="clear" w:color="000000" w:fill="F2F2F2"/>
            <w:vAlign w:val="center"/>
            <w:hideMark/>
          </w:tcPr>
          <w:p w14:paraId="3BC1D710"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6.66</w:t>
            </w:r>
          </w:p>
        </w:tc>
      </w:tr>
      <w:tr w:rsidR="00534DFB" w:rsidRPr="00534DFB" w14:paraId="41F0E0D2" w14:textId="77777777" w:rsidTr="00534DFB">
        <w:trPr>
          <w:trHeight w:val="255"/>
          <w:jc w:val="center"/>
        </w:trPr>
        <w:tc>
          <w:tcPr>
            <w:tcW w:w="4229" w:type="dxa"/>
            <w:tcBorders>
              <w:top w:val="nil"/>
              <w:left w:val="nil"/>
              <w:bottom w:val="nil"/>
              <w:right w:val="nil"/>
            </w:tcBorders>
            <w:shd w:val="clear" w:color="000000" w:fill="F2F2F2"/>
            <w:vAlign w:val="center"/>
            <w:hideMark/>
          </w:tcPr>
          <w:p w14:paraId="1F58F3FC"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Vehículos y Equipo de Transporte</w:t>
            </w:r>
          </w:p>
        </w:tc>
        <w:tc>
          <w:tcPr>
            <w:tcW w:w="1519" w:type="dxa"/>
            <w:tcBorders>
              <w:top w:val="nil"/>
              <w:left w:val="nil"/>
              <w:bottom w:val="nil"/>
              <w:right w:val="nil"/>
            </w:tcBorders>
            <w:shd w:val="clear" w:color="000000" w:fill="F2F2F2"/>
            <w:vAlign w:val="center"/>
            <w:hideMark/>
          </w:tcPr>
          <w:p w14:paraId="3294D434"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849,826,545.5</w:t>
            </w:r>
          </w:p>
        </w:tc>
        <w:tc>
          <w:tcPr>
            <w:tcW w:w="1502" w:type="dxa"/>
            <w:tcBorders>
              <w:top w:val="nil"/>
              <w:left w:val="nil"/>
              <w:bottom w:val="nil"/>
              <w:right w:val="nil"/>
            </w:tcBorders>
            <w:shd w:val="clear" w:color="000000" w:fill="F2F2F2"/>
            <w:vAlign w:val="center"/>
            <w:hideMark/>
          </w:tcPr>
          <w:p w14:paraId="129D9793"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-827,523,414.4</w:t>
            </w:r>
          </w:p>
        </w:tc>
        <w:tc>
          <w:tcPr>
            <w:tcW w:w="1569" w:type="dxa"/>
            <w:tcBorders>
              <w:top w:val="nil"/>
              <w:left w:val="nil"/>
              <w:bottom w:val="nil"/>
              <w:right w:val="nil"/>
            </w:tcBorders>
            <w:shd w:val="clear" w:color="000000" w:fill="F2F2F2"/>
            <w:vAlign w:val="center"/>
            <w:hideMark/>
          </w:tcPr>
          <w:p w14:paraId="42CC9D39"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22,303,131.</w:t>
            </w:r>
            <w:r w:rsidR="00847903">
              <w:rPr>
                <w:rFonts w:ascii="Montserrat" w:eastAsia="Times New Roman" w:hAnsi="Montserrat"/>
                <w:color w:val="000000"/>
                <w:sz w:val="15"/>
                <w:szCs w:val="15"/>
                <w:lang w:val="es-MX" w:eastAsia="es-MX"/>
              </w:rPr>
              <w:t>1</w:t>
            </w:r>
          </w:p>
        </w:tc>
        <w:tc>
          <w:tcPr>
            <w:tcW w:w="1519" w:type="dxa"/>
            <w:tcBorders>
              <w:top w:val="nil"/>
              <w:left w:val="nil"/>
              <w:bottom w:val="nil"/>
              <w:right w:val="nil"/>
            </w:tcBorders>
            <w:shd w:val="clear" w:color="000000" w:fill="F2F2F2"/>
            <w:vAlign w:val="center"/>
            <w:hideMark/>
          </w:tcPr>
          <w:p w14:paraId="3EB85DBD"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4 y 6.66</w:t>
            </w:r>
          </w:p>
        </w:tc>
      </w:tr>
      <w:tr w:rsidR="00534DFB" w:rsidRPr="00534DFB" w14:paraId="3CF3D71E" w14:textId="77777777" w:rsidTr="00534DFB">
        <w:trPr>
          <w:trHeight w:val="255"/>
          <w:jc w:val="center"/>
        </w:trPr>
        <w:tc>
          <w:tcPr>
            <w:tcW w:w="4229" w:type="dxa"/>
            <w:tcBorders>
              <w:top w:val="nil"/>
              <w:left w:val="nil"/>
              <w:bottom w:val="nil"/>
              <w:right w:val="nil"/>
            </w:tcBorders>
            <w:shd w:val="clear" w:color="000000" w:fill="F2F2F2"/>
            <w:vAlign w:val="center"/>
            <w:hideMark/>
          </w:tcPr>
          <w:p w14:paraId="50EDA4DD"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Mobiliario y Equipo Educacional y Recreativo</w:t>
            </w:r>
          </w:p>
        </w:tc>
        <w:tc>
          <w:tcPr>
            <w:tcW w:w="1519" w:type="dxa"/>
            <w:tcBorders>
              <w:top w:val="nil"/>
              <w:left w:val="nil"/>
              <w:bottom w:val="nil"/>
              <w:right w:val="nil"/>
            </w:tcBorders>
            <w:shd w:val="clear" w:color="000000" w:fill="F2F2F2"/>
            <w:vAlign w:val="center"/>
            <w:hideMark/>
          </w:tcPr>
          <w:p w14:paraId="47DAA48D"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198,272,869.2</w:t>
            </w:r>
          </w:p>
        </w:tc>
        <w:tc>
          <w:tcPr>
            <w:tcW w:w="1502" w:type="dxa"/>
            <w:tcBorders>
              <w:top w:val="nil"/>
              <w:left w:val="nil"/>
              <w:bottom w:val="nil"/>
              <w:right w:val="nil"/>
            </w:tcBorders>
            <w:shd w:val="clear" w:color="000000" w:fill="F2F2F2"/>
            <w:vAlign w:val="center"/>
            <w:hideMark/>
          </w:tcPr>
          <w:p w14:paraId="29E78F23"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-193,324,471.5</w:t>
            </w:r>
          </w:p>
        </w:tc>
        <w:tc>
          <w:tcPr>
            <w:tcW w:w="1569" w:type="dxa"/>
            <w:tcBorders>
              <w:top w:val="nil"/>
              <w:left w:val="nil"/>
              <w:bottom w:val="nil"/>
              <w:right w:val="nil"/>
            </w:tcBorders>
            <w:shd w:val="clear" w:color="000000" w:fill="F2F2F2"/>
            <w:vAlign w:val="center"/>
            <w:hideMark/>
          </w:tcPr>
          <w:p w14:paraId="336B0A5B"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4,948,397.7</w:t>
            </w:r>
          </w:p>
        </w:tc>
        <w:tc>
          <w:tcPr>
            <w:tcW w:w="1519" w:type="dxa"/>
            <w:tcBorders>
              <w:top w:val="nil"/>
              <w:left w:val="nil"/>
              <w:bottom w:val="nil"/>
              <w:right w:val="nil"/>
            </w:tcBorders>
            <w:shd w:val="clear" w:color="000000" w:fill="F2F2F2"/>
            <w:vAlign w:val="center"/>
            <w:hideMark/>
          </w:tcPr>
          <w:p w14:paraId="2C791A54"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3.33</w:t>
            </w:r>
          </w:p>
        </w:tc>
      </w:tr>
      <w:tr w:rsidR="00534DFB" w:rsidRPr="00534DFB" w14:paraId="49FE8BE8" w14:textId="77777777" w:rsidTr="00534DFB">
        <w:trPr>
          <w:trHeight w:val="255"/>
          <w:jc w:val="center"/>
        </w:trPr>
        <w:tc>
          <w:tcPr>
            <w:tcW w:w="4229" w:type="dxa"/>
            <w:tcBorders>
              <w:top w:val="nil"/>
              <w:left w:val="nil"/>
              <w:bottom w:val="nil"/>
              <w:right w:val="nil"/>
            </w:tcBorders>
            <w:shd w:val="clear" w:color="000000" w:fill="F2F2F2"/>
            <w:vAlign w:val="center"/>
            <w:hideMark/>
          </w:tcPr>
          <w:p w14:paraId="71906220" w14:textId="77777777" w:rsidR="00534DFB" w:rsidRPr="00534DFB" w:rsidRDefault="00534DFB" w:rsidP="00534DFB">
            <w:pPr>
              <w:spacing w:after="0" w:line="240" w:lineRule="auto"/>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Colecciones, Obras de Arte y Objetos Valiosos</w:t>
            </w:r>
          </w:p>
        </w:tc>
        <w:tc>
          <w:tcPr>
            <w:tcW w:w="1519" w:type="dxa"/>
            <w:tcBorders>
              <w:top w:val="nil"/>
              <w:left w:val="nil"/>
              <w:bottom w:val="nil"/>
              <w:right w:val="nil"/>
            </w:tcBorders>
            <w:shd w:val="clear" w:color="000000" w:fill="F2F2F2"/>
            <w:vAlign w:val="center"/>
            <w:hideMark/>
          </w:tcPr>
          <w:p w14:paraId="4B1169B9"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17,457,124.1</w:t>
            </w:r>
          </w:p>
        </w:tc>
        <w:tc>
          <w:tcPr>
            <w:tcW w:w="1502" w:type="dxa"/>
            <w:tcBorders>
              <w:top w:val="nil"/>
              <w:left w:val="nil"/>
              <w:bottom w:val="nil"/>
              <w:right w:val="nil"/>
            </w:tcBorders>
            <w:shd w:val="clear" w:color="000000" w:fill="F2F2F2"/>
            <w:vAlign w:val="center"/>
            <w:hideMark/>
          </w:tcPr>
          <w:p w14:paraId="7611C109"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0.0</w:t>
            </w:r>
          </w:p>
        </w:tc>
        <w:tc>
          <w:tcPr>
            <w:tcW w:w="1569" w:type="dxa"/>
            <w:tcBorders>
              <w:top w:val="nil"/>
              <w:left w:val="nil"/>
              <w:bottom w:val="nil"/>
              <w:right w:val="nil"/>
            </w:tcBorders>
            <w:shd w:val="clear" w:color="000000" w:fill="F2F2F2"/>
            <w:vAlign w:val="center"/>
            <w:hideMark/>
          </w:tcPr>
          <w:p w14:paraId="22276684"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17,457,124.1</w:t>
            </w:r>
          </w:p>
        </w:tc>
        <w:tc>
          <w:tcPr>
            <w:tcW w:w="1519" w:type="dxa"/>
            <w:tcBorders>
              <w:top w:val="nil"/>
              <w:left w:val="nil"/>
              <w:bottom w:val="nil"/>
              <w:right w:val="nil"/>
            </w:tcBorders>
            <w:shd w:val="clear" w:color="000000" w:fill="F2F2F2"/>
            <w:vAlign w:val="center"/>
            <w:hideMark/>
          </w:tcPr>
          <w:p w14:paraId="5C948D53" w14:textId="77777777" w:rsidR="00534DFB" w:rsidRPr="00534DFB" w:rsidRDefault="00534DFB" w:rsidP="00534DFB">
            <w:pPr>
              <w:spacing w:after="0" w:line="240" w:lineRule="auto"/>
              <w:jc w:val="right"/>
              <w:rPr>
                <w:rFonts w:ascii="Montserrat" w:eastAsia="Times New Roman" w:hAnsi="Montserrat"/>
                <w:color w:val="000000"/>
                <w:sz w:val="15"/>
                <w:szCs w:val="15"/>
                <w:lang w:val="es-MX" w:eastAsia="es-MX"/>
              </w:rPr>
            </w:pPr>
            <w:r w:rsidRPr="00534DFB">
              <w:rPr>
                <w:rFonts w:ascii="Montserrat" w:eastAsia="Times New Roman" w:hAnsi="Montserrat"/>
                <w:color w:val="000000"/>
                <w:sz w:val="15"/>
                <w:szCs w:val="15"/>
                <w:lang w:val="es-MX" w:eastAsia="es-MX"/>
              </w:rPr>
              <w:t> </w:t>
            </w:r>
          </w:p>
        </w:tc>
      </w:tr>
      <w:tr w:rsidR="00534DFB" w:rsidRPr="00534DFB" w14:paraId="5CB7856E" w14:textId="77777777" w:rsidTr="00534DFB">
        <w:trPr>
          <w:trHeight w:val="267"/>
          <w:jc w:val="center"/>
        </w:trPr>
        <w:tc>
          <w:tcPr>
            <w:tcW w:w="4229" w:type="dxa"/>
            <w:tcBorders>
              <w:top w:val="nil"/>
              <w:left w:val="nil"/>
              <w:bottom w:val="single" w:sz="12" w:space="0" w:color="808080"/>
              <w:right w:val="nil"/>
            </w:tcBorders>
            <w:shd w:val="clear" w:color="000000" w:fill="F2F2F2"/>
            <w:vAlign w:val="center"/>
            <w:hideMark/>
          </w:tcPr>
          <w:p w14:paraId="454A2C8E" w14:textId="77777777" w:rsidR="00534DFB" w:rsidRPr="00534DFB" w:rsidRDefault="00534DFB" w:rsidP="00534DFB">
            <w:pPr>
              <w:spacing w:after="0" w:line="240" w:lineRule="auto"/>
              <w:rPr>
                <w:rFonts w:ascii="Montserrat" w:eastAsia="Times New Roman" w:hAnsi="Montserrat"/>
                <w:b/>
                <w:bCs/>
                <w:color w:val="000000"/>
                <w:sz w:val="15"/>
                <w:szCs w:val="15"/>
                <w:lang w:val="es-MX" w:eastAsia="es-MX"/>
              </w:rPr>
            </w:pPr>
            <w:r w:rsidRPr="00534DFB">
              <w:rPr>
                <w:rFonts w:ascii="Montserrat" w:eastAsia="Times New Roman" w:hAnsi="Montserrat"/>
                <w:b/>
                <w:bCs/>
                <w:color w:val="000000"/>
                <w:sz w:val="15"/>
                <w:szCs w:val="15"/>
                <w:lang w:val="es-MX" w:eastAsia="es-MX"/>
              </w:rPr>
              <w:t>Total Bienes Muebles</w:t>
            </w:r>
          </w:p>
        </w:tc>
        <w:tc>
          <w:tcPr>
            <w:tcW w:w="1519" w:type="dxa"/>
            <w:tcBorders>
              <w:top w:val="nil"/>
              <w:left w:val="nil"/>
              <w:bottom w:val="single" w:sz="12" w:space="0" w:color="808080"/>
              <w:right w:val="nil"/>
            </w:tcBorders>
            <w:shd w:val="clear" w:color="000000" w:fill="F2F2F2"/>
            <w:vAlign w:val="center"/>
            <w:hideMark/>
          </w:tcPr>
          <w:p w14:paraId="499C254B" w14:textId="77777777" w:rsidR="00534DFB" w:rsidRPr="00534DFB" w:rsidRDefault="00534DFB" w:rsidP="00534DFB">
            <w:pPr>
              <w:spacing w:after="0" w:line="240" w:lineRule="auto"/>
              <w:jc w:val="right"/>
              <w:rPr>
                <w:rFonts w:ascii="Montserrat" w:eastAsia="Times New Roman" w:hAnsi="Montserrat"/>
                <w:b/>
                <w:bCs/>
                <w:color w:val="000000"/>
                <w:sz w:val="15"/>
                <w:szCs w:val="15"/>
                <w:lang w:val="es-MX" w:eastAsia="es-MX"/>
              </w:rPr>
            </w:pPr>
            <w:r w:rsidRPr="00534DFB">
              <w:rPr>
                <w:rFonts w:ascii="Montserrat" w:eastAsia="Times New Roman" w:hAnsi="Montserrat"/>
                <w:b/>
                <w:bCs/>
                <w:color w:val="000000"/>
                <w:sz w:val="15"/>
                <w:szCs w:val="15"/>
                <w:lang w:val="es-MX" w:eastAsia="es-MX"/>
              </w:rPr>
              <w:t>48,278,058,963.</w:t>
            </w:r>
            <w:r w:rsidR="00310BF3">
              <w:rPr>
                <w:rFonts w:ascii="Montserrat" w:eastAsia="Times New Roman" w:hAnsi="Montserrat"/>
                <w:b/>
                <w:bCs/>
                <w:color w:val="000000"/>
                <w:sz w:val="15"/>
                <w:szCs w:val="15"/>
                <w:lang w:val="es-MX" w:eastAsia="es-MX"/>
              </w:rPr>
              <w:t>2</w:t>
            </w:r>
          </w:p>
        </w:tc>
        <w:tc>
          <w:tcPr>
            <w:tcW w:w="1502" w:type="dxa"/>
            <w:tcBorders>
              <w:top w:val="nil"/>
              <w:left w:val="nil"/>
              <w:bottom w:val="single" w:sz="12" w:space="0" w:color="808080"/>
              <w:right w:val="nil"/>
            </w:tcBorders>
            <w:shd w:val="clear" w:color="000000" w:fill="F2F2F2"/>
            <w:vAlign w:val="center"/>
            <w:hideMark/>
          </w:tcPr>
          <w:p w14:paraId="064F82B2" w14:textId="77777777" w:rsidR="00534DFB" w:rsidRPr="00534DFB" w:rsidRDefault="00534DFB" w:rsidP="00534DFB">
            <w:pPr>
              <w:spacing w:after="0" w:line="240" w:lineRule="auto"/>
              <w:jc w:val="right"/>
              <w:rPr>
                <w:rFonts w:ascii="Montserrat" w:eastAsia="Times New Roman" w:hAnsi="Montserrat"/>
                <w:b/>
                <w:bCs/>
                <w:color w:val="000000"/>
                <w:sz w:val="15"/>
                <w:szCs w:val="15"/>
                <w:lang w:val="es-MX" w:eastAsia="es-MX"/>
              </w:rPr>
            </w:pPr>
            <w:r w:rsidRPr="00534DFB">
              <w:rPr>
                <w:rFonts w:ascii="Montserrat" w:eastAsia="Times New Roman" w:hAnsi="Montserrat"/>
                <w:b/>
                <w:bCs/>
                <w:color w:val="000000"/>
                <w:sz w:val="15"/>
                <w:szCs w:val="15"/>
                <w:lang w:val="es-MX" w:eastAsia="es-MX"/>
              </w:rPr>
              <w:t>-43,332,798,593.</w:t>
            </w:r>
            <w:r w:rsidR="00310BF3">
              <w:rPr>
                <w:rFonts w:ascii="Montserrat" w:eastAsia="Times New Roman" w:hAnsi="Montserrat"/>
                <w:b/>
                <w:bCs/>
                <w:color w:val="000000"/>
                <w:sz w:val="15"/>
                <w:szCs w:val="15"/>
                <w:lang w:val="es-MX" w:eastAsia="es-MX"/>
              </w:rPr>
              <w:t>1</w:t>
            </w:r>
          </w:p>
        </w:tc>
        <w:tc>
          <w:tcPr>
            <w:tcW w:w="1569" w:type="dxa"/>
            <w:tcBorders>
              <w:top w:val="nil"/>
              <w:left w:val="nil"/>
              <w:bottom w:val="single" w:sz="12" w:space="0" w:color="808080"/>
              <w:right w:val="nil"/>
            </w:tcBorders>
            <w:shd w:val="clear" w:color="000000" w:fill="F2F2F2"/>
            <w:vAlign w:val="center"/>
            <w:hideMark/>
          </w:tcPr>
          <w:p w14:paraId="33558EFA" w14:textId="77777777" w:rsidR="00534DFB" w:rsidRPr="00534DFB" w:rsidRDefault="00534DFB" w:rsidP="00534DFB">
            <w:pPr>
              <w:spacing w:after="0" w:line="240" w:lineRule="auto"/>
              <w:jc w:val="right"/>
              <w:rPr>
                <w:rFonts w:ascii="Montserrat" w:eastAsia="Times New Roman" w:hAnsi="Montserrat"/>
                <w:b/>
                <w:bCs/>
                <w:color w:val="000000"/>
                <w:sz w:val="15"/>
                <w:szCs w:val="15"/>
                <w:lang w:val="es-MX" w:eastAsia="es-MX"/>
              </w:rPr>
            </w:pPr>
            <w:r w:rsidRPr="00534DFB">
              <w:rPr>
                <w:rFonts w:ascii="Montserrat" w:eastAsia="Times New Roman" w:hAnsi="Montserrat"/>
                <w:b/>
                <w:bCs/>
                <w:color w:val="000000"/>
                <w:sz w:val="15"/>
                <w:szCs w:val="15"/>
                <w:lang w:val="es-MX" w:eastAsia="es-MX"/>
              </w:rPr>
              <w:t>4,945,260,370.1</w:t>
            </w:r>
          </w:p>
        </w:tc>
        <w:tc>
          <w:tcPr>
            <w:tcW w:w="1519" w:type="dxa"/>
            <w:tcBorders>
              <w:top w:val="nil"/>
              <w:left w:val="nil"/>
              <w:bottom w:val="single" w:sz="12" w:space="0" w:color="808080"/>
              <w:right w:val="nil"/>
            </w:tcBorders>
            <w:shd w:val="clear" w:color="000000" w:fill="F2F2F2"/>
            <w:vAlign w:val="center"/>
            <w:hideMark/>
          </w:tcPr>
          <w:p w14:paraId="745ADC04" w14:textId="77777777" w:rsidR="00534DFB" w:rsidRPr="00534DFB" w:rsidRDefault="00534DFB" w:rsidP="00534DFB">
            <w:pPr>
              <w:spacing w:after="0" w:line="240" w:lineRule="auto"/>
              <w:jc w:val="right"/>
              <w:rPr>
                <w:rFonts w:ascii="Montserrat" w:eastAsia="Times New Roman" w:hAnsi="Montserrat"/>
                <w:b/>
                <w:bCs/>
                <w:color w:val="000000"/>
                <w:sz w:val="15"/>
                <w:szCs w:val="15"/>
                <w:lang w:val="es-MX" w:eastAsia="es-MX"/>
              </w:rPr>
            </w:pPr>
            <w:r w:rsidRPr="00534DFB">
              <w:rPr>
                <w:rFonts w:ascii="Montserrat" w:eastAsia="Times New Roman" w:hAnsi="Montserrat"/>
                <w:b/>
                <w:bCs/>
                <w:color w:val="000000"/>
                <w:sz w:val="15"/>
                <w:szCs w:val="15"/>
                <w:lang w:val="es-MX" w:eastAsia="es-MX"/>
              </w:rPr>
              <w:t> </w:t>
            </w:r>
          </w:p>
        </w:tc>
      </w:tr>
    </w:tbl>
    <w:p w14:paraId="0786B018" w14:textId="77777777" w:rsidR="00310BF3" w:rsidRDefault="00310BF3" w:rsidP="009D5C48">
      <w:pPr>
        <w:pStyle w:val="TEXTONORMAL"/>
      </w:pPr>
    </w:p>
    <w:tbl>
      <w:tblPr>
        <w:tblW w:w="10422" w:type="dxa"/>
        <w:jc w:val="center"/>
        <w:tblCellMar>
          <w:left w:w="70" w:type="dxa"/>
          <w:right w:w="70" w:type="dxa"/>
        </w:tblCellMar>
        <w:tblLook w:val="04A0" w:firstRow="1" w:lastRow="0" w:firstColumn="1" w:lastColumn="0" w:noHBand="0" w:noVBand="1"/>
      </w:tblPr>
      <w:tblGrid>
        <w:gridCol w:w="4111"/>
        <w:gridCol w:w="1512"/>
        <w:gridCol w:w="1615"/>
        <w:gridCol w:w="1552"/>
        <w:gridCol w:w="1632"/>
      </w:tblGrid>
      <w:tr w:rsidR="009D5C48" w:rsidRPr="008F3283" w14:paraId="5E0C7EBF" w14:textId="77777777" w:rsidTr="00A461CA">
        <w:trPr>
          <w:trHeight w:val="354"/>
          <w:jc w:val="center"/>
        </w:trPr>
        <w:tc>
          <w:tcPr>
            <w:tcW w:w="411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51E481B"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311"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05C12747"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8F3283" w14:paraId="720DF56A" w14:textId="77777777" w:rsidTr="00A461CA">
        <w:trPr>
          <w:trHeight w:val="354"/>
          <w:jc w:val="center"/>
        </w:trPr>
        <w:tc>
          <w:tcPr>
            <w:tcW w:w="4111" w:type="dxa"/>
            <w:vMerge/>
            <w:tcBorders>
              <w:top w:val="single" w:sz="12" w:space="0" w:color="808080"/>
              <w:left w:val="single" w:sz="12" w:space="0" w:color="FFFFFF"/>
              <w:bottom w:val="double" w:sz="6" w:space="0" w:color="808080"/>
              <w:right w:val="single" w:sz="12" w:space="0" w:color="FFFFFF"/>
            </w:tcBorders>
            <w:vAlign w:val="center"/>
            <w:hideMark/>
          </w:tcPr>
          <w:p w14:paraId="206748D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311"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35615530" w14:textId="77777777" w:rsidR="009D5C48" w:rsidRPr="00F07DF7" w:rsidRDefault="00BE701F"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8F3283" w14:paraId="1BEF5E07" w14:textId="77777777" w:rsidTr="00A461CA">
        <w:trPr>
          <w:trHeight w:val="577"/>
          <w:jc w:val="center"/>
        </w:trPr>
        <w:tc>
          <w:tcPr>
            <w:tcW w:w="4111" w:type="dxa"/>
            <w:vMerge/>
            <w:tcBorders>
              <w:top w:val="single" w:sz="12" w:space="0" w:color="808080"/>
              <w:left w:val="single" w:sz="12" w:space="0" w:color="FFFFFF"/>
              <w:bottom w:val="double" w:sz="6" w:space="0" w:color="808080"/>
              <w:right w:val="single" w:sz="12" w:space="0" w:color="FFFFFF"/>
            </w:tcBorders>
            <w:vAlign w:val="center"/>
            <w:hideMark/>
          </w:tcPr>
          <w:p w14:paraId="1C8CE1B1"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512" w:type="dxa"/>
            <w:tcBorders>
              <w:top w:val="nil"/>
              <w:left w:val="nil"/>
              <w:bottom w:val="double" w:sz="6" w:space="0" w:color="808080"/>
              <w:right w:val="single" w:sz="12" w:space="0" w:color="FFFFFF"/>
            </w:tcBorders>
            <w:shd w:val="clear" w:color="000000" w:fill="D4C19C"/>
            <w:vAlign w:val="center"/>
            <w:hideMark/>
          </w:tcPr>
          <w:p w14:paraId="63BAF247"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615" w:type="dxa"/>
            <w:tcBorders>
              <w:top w:val="nil"/>
              <w:left w:val="nil"/>
              <w:bottom w:val="double" w:sz="6" w:space="0" w:color="808080"/>
              <w:right w:val="single" w:sz="12" w:space="0" w:color="FFFFFF"/>
            </w:tcBorders>
            <w:shd w:val="clear" w:color="000000" w:fill="D4C19C"/>
            <w:vAlign w:val="center"/>
            <w:hideMark/>
          </w:tcPr>
          <w:p w14:paraId="15ED89BA"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52" w:type="dxa"/>
            <w:tcBorders>
              <w:top w:val="nil"/>
              <w:left w:val="nil"/>
              <w:bottom w:val="double" w:sz="6" w:space="0" w:color="808080"/>
              <w:right w:val="single" w:sz="12" w:space="0" w:color="FFFFFF"/>
            </w:tcBorders>
            <w:shd w:val="clear" w:color="000000" w:fill="D4C19C"/>
            <w:vAlign w:val="center"/>
            <w:hideMark/>
          </w:tcPr>
          <w:p w14:paraId="54C968AE"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632" w:type="dxa"/>
            <w:tcBorders>
              <w:top w:val="nil"/>
              <w:left w:val="nil"/>
              <w:bottom w:val="double" w:sz="6" w:space="0" w:color="808080"/>
              <w:right w:val="single" w:sz="12" w:space="0" w:color="FFFFFF"/>
            </w:tcBorders>
            <w:shd w:val="clear" w:color="000000" w:fill="D4C19C"/>
            <w:vAlign w:val="center"/>
            <w:hideMark/>
          </w:tcPr>
          <w:p w14:paraId="4DC1B95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8F3283" w14:paraId="53B08B17" w14:textId="77777777" w:rsidTr="00A461CA">
        <w:trPr>
          <w:trHeight w:val="337"/>
          <w:jc w:val="center"/>
        </w:trPr>
        <w:tc>
          <w:tcPr>
            <w:tcW w:w="4111" w:type="dxa"/>
            <w:tcBorders>
              <w:top w:val="nil"/>
              <w:left w:val="nil"/>
              <w:bottom w:val="nil"/>
              <w:right w:val="nil"/>
            </w:tcBorders>
            <w:shd w:val="clear" w:color="000000" w:fill="F2F2F2"/>
            <w:vAlign w:val="center"/>
            <w:hideMark/>
          </w:tcPr>
          <w:p w14:paraId="48F6E0D9"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Equipo e Instrumental Médico y de Laboratorio</w:t>
            </w:r>
          </w:p>
        </w:tc>
        <w:tc>
          <w:tcPr>
            <w:tcW w:w="1512" w:type="dxa"/>
            <w:tcBorders>
              <w:top w:val="nil"/>
              <w:left w:val="nil"/>
              <w:bottom w:val="nil"/>
              <w:right w:val="nil"/>
            </w:tcBorders>
            <w:shd w:val="clear" w:color="000000" w:fill="F2F2F2"/>
            <w:vAlign w:val="center"/>
            <w:hideMark/>
          </w:tcPr>
          <w:p w14:paraId="421CC86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30,051,418,999.3 </w:t>
            </w:r>
          </w:p>
        </w:tc>
        <w:tc>
          <w:tcPr>
            <w:tcW w:w="1615" w:type="dxa"/>
            <w:tcBorders>
              <w:top w:val="nil"/>
              <w:left w:val="nil"/>
              <w:bottom w:val="nil"/>
              <w:right w:val="nil"/>
            </w:tcBorders>
            <w:shd w:val="clear" w:color="000000" w:fill="F2F2F2"/>
            <w:vAlign w:val="center"/>
            <w:hideMark/>
          </w:tcPr>
          <w:p w14:paraId="65414D5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-26,899,233,018.7 </w:t>
            </w:r>
          </w:p>
        </w:tc>
        <w:tc>
          <w:tcPr>
            <w:tcW w:w="1552" w:type="dxa"/>
            <w:tcBorders>
              <w:top w:val="nil"/>
              <w:left w:val="nil"/>
              <w:bottom w:val="nil"/>
              <w:right w:val="nil"/>
            </w:tcBorders>
            <w:shd w:val="clear" w:color="000000" w:fill="F2F2F2"/>
            <w:vAlign w:val="center"/>
            <w:hideMark/>
          </w:tcPr>
          <w:p w14:paraId="154103B6"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3,152,185,980.6 </w:t>
            </w:r>
          </w:p>
        </w:tc>
        <w:tc>
          <w:tcPr>
            <w:tcW w:w="1632" w:type="dxa"/>
            <w:tcBorders>
              <w:top w:val="nil"/>
              <w:left w:val="nil"/>
              <w:bottom w:val="nil"/>
              <w:right w:val="nil"/>
            </w:tcBorders>
            <w:shd w:val="clear" w:color="000000" w:fill="F2F2F2"/>
            <w:vAlign w:val="center"/>
            <w:hideMark/>
          </w:tcPr>
          <w:p w14:paraId="7A380F5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1E043917" w14:textId="77777777" w:rsidTr="00A461CA">
        <w:trPr>
          <w:trHeight w:val="320"/>
          <w:jc w:val="center"/>
        </w:trPr>
        <w:tc>
          <w:tcPr>
            <w:tcW w:w="4111" w:type="dxa"/>
            <w:tcBorders>
              <w:top w:val="nil"/>
              <w:left w:val="nil"/>
              <w:bottom w:val="nil"/>
              <w:right w:val="nil"/>
            </w:tcBorders>
            <w:shd w:val="clear" w:color="000000" w:fill="F2F2F2"/>
            <w:vAlign w:val="center"/>
            <w:hideMark/>
          </w:tcPr>
          <w:p w14:paraId="36D4C427"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de Administración</w:t>
            </w:r>
          </w:p>
        </w:tc>
        <w:tc>
          <w:tcPr>
            <w:tcW w:w="1512" w:type="dxa"/>
            <w:tcBorders>
              <w:top w:val="nil"/>
              <w:left w:val="nil"/>
              <w:bottom w:val="nil"/>
              <w:right w:val="nil"/>
            </w:tcBorders>
            <w:shd w:val="clear" w:color="000000" w:fill="F2F2F2"/>
            <w:vAlign w:val="center"/>
            <w:hideMark/>
          </w:tcPr>
          <w:p w14:paraId="1B75DAF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13,846,876,686.4 </w:t>
            </w:r>
          </w:p>
        </w:tc>
        <w:tc>
          <w:tcPr>
            <w:tcW w:w="1615" w:type="dxa"/>
            <w:tcBorders>
              <w:top w:val="nil"/>
              <w:left w:val="nil"/>
              <w:bottom w:val="nil"/>
              <w:right w:val="nil"/>
            </w:tcBorders>
            <w:shd w:val="clear" w:color="000000" w:fill="F2F2F2"/>
            <w:vAlign w:val="center"/>
            <w:hideMark/>
          </w:tcPr>
          <w:p w14:paraId="135F1F6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-10,823,950,003.4 </w:t>
            </w:r>
          </w:p>
        </w:tc>
        <w:tc>
          <w:tcPr>
            <w:tcW w:w="1552" w:type="dxa"/>
            <w:tcBorders>
              <w:top w:val="nil"/>
              <w:left w:val="nil"/>
              <w:bottom w:val="nil"/>
              <w:right w:val="nil"/>
            </w:tcBorders>
            <w:shd w:val="clear" w:color="000000" w:fill="F2F2F2"/>
            <w:vAlign w:val="center"/>
            <w:hideMark/>
          </w:tcPr>
          <w:p w14:paraId="4344D08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3,022,926,683.0 </w:t>
            </w:r>
          </w:p>
        </w:tc>
        <w:tc>
          <w:tcPr>
            <w:tcW w:w="1632" w:type="dxa"/>
            <w:tcBorders>
              <w:top w:val="nil"/>
              <w:left w:val="nil"/>
              <w:bottom w:val="nil"/>
              <w:right w:val="nil"/>
            </w:tcBorders>
            <w:shd w:val="clear" w:color="000000" w:fill="F2F2F2"/>
            <w:vAlign w:val="center"/>
            <w:hideMark/>
          </w:tcPr>
          <w:p w14:paraId="42003BD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06066BC2" w14:textId="77777777" w:rsidTr="00A461CA">
        <w:trPr>
          <w:trHeight w:val="320"/>
          <w:jc w:val="center"/>
        </w:trPr>
        <w:tc>
          <w:tcPr>
            <w:tcW w:w="4111" w:type="dxa"/>
            <w:tcBorders>
              <w:top w:val="nil"/>
              <w:left w:val="nil"/>
              <w:bottom w:val="nil"/>
              <w:right w:val="nil"/>
            </w:tcBorders>
            <w:shd w:val="clear" w:color="000000" w:fill="F2F2F2"/>
            <w:vAlign w:val="center"/>
            <w:hideMark/>
          </w:tcPr>
          <w:p w14:paraId="230EF19D"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 xml:space="preserve">Maquinaria, otros Equipos y Herramientas  </w:t>
            </w:r>
          </w:p>
        </w:tc>
        <w:tc>
          <w:tcPr>
            <w:tcW w:w="1512" w:type="dxa"/>
            <w:tcBorders>
              <w:top w:val="nil"/>
              <w:left w:val="nil"/>
              <w:bottom w:val="nil"/>
              <w:right w:val="nil"/>
            </w:tcBorders>
            <w:shd w:val="clear" w:color="000000" w:fill="F2F2F2"/>
            <w:vAlign w:val="center"/>
            <w:hideMark/>
          </w:tcPr>
          <w:p w14:paraId="0F57C7B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3,641,878,140.6 </w:t>
            </w:r>
          </w:p>
        </w:tc>
        <w:tc>
          <w:tcPr>
            <w:tcW w:w="1615" w:type="dxa"/>
            <w:tcBorders>
              <w:top w:val="nil"/>
              <w:left w:val="nil"/>
              <w:bottom w:val="nil"/>
              <w:right w:val="nil"/>
            </w:tcBorders>
            <w:shd w:val="clear" w:color="000000" w:fill="F2F2F2"/>
            <w:vAlign w:val="center"/>
            <w:hideMark/>
          </w:tcPr>
          <w:p w14:paraId="35965DE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-2,694,970,254.9 </w:t>
            </w:r>
          </w:p>
        </w:tc>
        <w:tc>
          <w:tcPr>
            <w:tcW w:w="1552" w:type="dxa"/>
            <w:tcBorders>
              <w:top w:val="nil"/>
              <w:left w:val="nil"/>
              <w:bottom w:val="nil"/>
              <w:right w:val="nil"/>
            </w:tcBorders>
            <w:shd w:val="clear" w:color="000000" w:fill="F2F2F2"/>
            <w:vAlign w:val="center"/>
            <w:hideMark/>
          </w:tcPr>
          <w:p w14:paraId="649C2766"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946,907,885.7 </w:t>
            </w:r>
          </w:p>
        </w:tc>
        <w:tc>
          <w:tcPr>
            <w:tcW w:w="1632" w:type="dxa"/>
            <w:tcBorders>
              <w:top w:val="nil"/>
              <w:left w:val="nil"/>
              <w:bottom w:val="nil"/>
              <w:right w:val="nil"/>
            </w:tcBorders>
            <w:shd w:val="clear" w:color="000000" w:fill="F2F2F2"/>
            <w:vAlign w:val="center"/>
            <w:hideMark/>
          </w:tcPr>
          <w:p w14:paraId="55A069C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78ADED79" w14:textId="77777777" w:rsidTr="00A461CA">
        <w:trPr>
          <w:trHeight w:val="320"/>
          <w:jc w:val="center"/>
        </w:trPr>
        <w:tc>
          <w:tcPr>
            <w:tcW w:w="4111" w:type="dxa"/>
            <w:tcBorders>
              <w:top w:val="nil"/>
              <w:left w:val="nil"/>
              <w:bottom w:val="nil"/>
              <w:right w:val="nil"/>
            </w:tcBorders>
            <w:shd w:val="clear" w:color="000000" w:fill="F2F2F2"/>
            <w:vAlign w:val="center"/>
            <w:hideMark/>
          </w:tcPr>
          <w:p w14:paraId="3F60A600"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Vehículos y Equipo de Transporte</w:t>
            </w:r>
          </w:p>
        </w:tc>
        <w:tc>
          <w:tcPr>
            <w:tcW w:w="1512" w:type="dxa"/>
            <w:tcBorders>
              <w:top w:val="nil"/>
              <w:left w:val="nil"/>
              <w:bottom w:val="nil"/>
              <w:right w:val="nil"/>
            </w:tcBorders>
            <w:shd w:val="clear" w:color="000000" w:fill="F2F2F2"/>
            <w:vAlign w:val="center"/>
            <w:hideMark/>
          </w:tcPr>
          <w:p w14:paraId="79CD348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865,303,604.6 </w:t>
            </w:r>
          </w:p>
        </w:tc>
        <w:tc>
          <w:tcPr>
            <w:tcW w:w="1615" w:type="dxa"/>
            <w:tcBorders>
              <w:top w:val="nil"/>
              <w:left w:val="nil"/>
              <w:bottom w:val="nil"/>
              <w:right w:val="nil"/>
            </w:tcBorders>
            <w:shd w:val="clear" w:color="000000" w:fill="F2F2F2"/>
            <w:vAlign w:val="center"/>
            <w:hideMark/>
          </w:tcPr>
          <w:p w14:paraId="5063FEEC"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-839,159,950.7 </w:t>
            </w:r>
          </w:p>
        </w:tc>
        <w:tc>
          <w:tcPr>
            <w:tcW w:w="1552" w:type="dxa"/>
            <w:tcBorders>
              <w:top w:val="nil"/>
              <w:left w:val="nil"/>
              <w:bottom w:val="nil"/>
              <w:right w:val="nil"/>
            </w:tcBorders>
            <w:shd w:val="clear" w:color="000000" w:fill="F2F2F2"/>
            <w:vAlign w:val="center"/>
            <w:hideMark/>
          </w:tcPr>
          <w:p w14:paraId="2737774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26,143,653.9 </w:t>
            </w:r>
          </w:p>
        </w:tc>
        <w:tc>
          <w:tcPr>
            <w:tcW w:w="1632" w:type="dxa"/>
            <w:tcBorders>
              <w:top w:val="nil"/>
              <w:left w:val="nil"/>
              <w:bottom w:val="nil"/>
              <w:right w:val="nil"/>
            </w:tcBorders>
            <w:shd w:val="clear" w:color="000000" w:fill="F2F2F2"/>
            <w:vAlign w:val="center"/>
            <w:hideMark/>
          </w:tcPr>
          <w:p w14:paraId="15E7CCF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 y 6.66</w:t>
            </w:r>
          </w:p>
        </w:tc>
      </w:tr>
      <w:tr w:rsidR="009D5C48" w:rsidRPr="008F3283" w14:paraId="60845EDB" w14:textId="77777777" w:rsidTr="00A461CA">
        <w:trPr>
          <w:trHeight w:val="320"/>
          <w:jc w:val="center"/>
        </w:trPr>
        <w:tc>
          <w:tcPr>
            <w:tcW w:w="4111" w:type="dxa"/>
            <w:tcBorders>
              <w:top w:val="nil"/>
              <w:left w:val="nil"/>
              <w:bottom w:val="nil"/>
              <w:right w:val="nil"/>
            </w:tcBorders>
            <w:shd w:val="clear" w:color="000000" w:fill="F2F2F2"/>
            <w:vAlign w:val="center"/>
            <w:hideMark/>
          </w:tcPr>
          <w:p w14:paraId="437C3670"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Educacional y Recreativo</w:t>
            </w:r>
          </w:p>
        </w:tc>
        <w:tc>
          <w:tcPr>
            <w:tcW w:w="1512" w:type="dxa"/>
            <w:tcBorders>
              <w:top w:val="nil"/>
              <w:left w:val="nil"/>
              <w:bottom w:val="nil"/>
              <w:right w:val="nil"/>
            </w:tcBorders>
            <w:shd w:val="clear" w:color="000000" w:fill="F2F2F2"/>
            <w:vAlign w:val="center"/>
            <w:hideMark/>
          </w:tcPr>
          <w:p w14:paraId="0F414DB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196,191,224.9 </w:t>
            </w:r>
          </w:p>
        </w:tc>
        <w:tc>
          <w:tcPr>
            <w:tcW w:w="1615" w:type="dxa"/>
            <w:tcBorders>
              <w:top w:val="nil"/>
              <w:left w:val="nil"/>
              <w:bottom w:val="nil"/>
              <w:right w:val="nil"/>
            </w:tcBorders>
            <w:shd w:val="clear" w:color="000000" w:fill="F2F2F2"/>
            <w:vAlign w:val="center"/>
            <w:hideMark/>
          </w:tcPr>
          <w:p w14:paraId="574F35F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-195,137,004.3 </w:t>
            </w:r>
          </w:p>
        </w:tc>
        <w:tc>
          <w:tcPr>
            <w:tcW w:w="1552" w:type="dxa"/>
            <w:tcBorders>
              <w:top w:val="nil"/>
              <w:left w:val="nil"/>
              <w:bottom w:val="nil"/>
              <w:right w:val="nil"/>
            </w:tcBorders>
            <w:shd w:val="clear" w:color="000000" w:fill="F2F2F2"/>
            <w:vAlign w:val="center"/>
            <w:hideMark/>
          </w:tcPr>
          <w:p w14:paraId="14D5AEA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1,054,220.6 </w:t>
            </w:r>
          </w:p>
        </w:tc>
        <w:tc>
          <w:tcPr>
            <w:tcW w:w="1632" w:type="dxa"/>
            <w:tcBorders>
              <w:top w:val="nil"/>
              <w:left w:val="nil"/>
              <w:bottom w:val="nil"/>
              <w:right w:val="nil"/>
            </w:tcBorders>
            <w:shd w:val="clear" w:color="000000" w:fill="F2F2F2"/>
            <w:vAlign w:val="center"/>
            <w:hideMark/>
          </w:tcPr>
          <w:p w14:paraId="649919EC"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531C184A" w14:textId="77777777" w:rsidTr="00A461CA">
        <w:trPr>
          <w:trHeight w:val="320"/>
          <w:jc w:val="center"/>
        </w:trPr>
        <w:tc>
          <w:tcPr>
            <w:tcW w:w="4111" w:type="dxa"/>
            <w:tcBorders>
              <w:top w:val="nil"/>
              <w:left w:val="nil"/>
              <w:bottom w:val="nil"/>
              <w:right w:val="nil"/>
            </w:tcBorders>
            <w:shd w:val="clear" w:color="000000" w:fill="F2F2F2"/>
            <w:vAlign w:val="center"/>
            <w:hideMark/>
          </w:tcPr>
          <w:p w14:paraId="5137D585"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Colecciones, Obras de Arte y Objetos Valiosos</w:t>
            </w:r>
          </w:p>
        </w:tc>
        <w:tc>
          <w:tcPr>
            <w:tcW w:w="1512" w:type="dxa"/>
            <w:tcBorders>
              <w:top w:val="nil"/>
              <w:left w:val="nil"/>
              <w:bottom w:val="nil"/>
              <w:right w:val="nil"/>
            </w:tcBorders>
            <w:shd w:val="clear" w:color="000000" w:fill="F2F2F2"/>
            <w:vAlign w:val="center"/>
            <w:hideMark/>
          </w:tcPr>
          <w:p w14:paraId="6607209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615" w:type="dxa"/>
            <w:tcBorders>
              <w:top w:val="nil"/>
              <w:left w:val="nil"/>
              <w:bottom w:val="nil"/>
              <w:right w:val="nil"/>
            </w:tcBorders>
            <w:shd w:val="clear" w:color="000000" w:fill="F2F2F2"/>
            <w:vAlign w:val="center"/>
            <w:hideMark/>
          </w:tcPr>
          <w:p w14:paraId="3A7B03F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0</w:t>
            </w:r>
            <w:r w:rsidR="007025C2">
              <w:rPr>
                <w:rFonts w:ascii="Montserrat" w:hAnsi="Montserrat"/>
                <w:color w:val="000000"/>
                <w:sz w:val="15"/>
                <w:szCs w:val="15"/>
              </w:rPr>
              <w:t>.0</w:t>
            </w:r>
            <w:r w:rsidRPr="000A0782">
              <w:rPr>
                <w:rFonts w:ascii="Montserrat" w:hAnsi="Montserrat"/>
                <w:color w:val="000000"/>
                <w:sz w:val="15"/>
                <w:szCs w:val="15"/>
              </w:rPr>
              <w:t xml:space="preserve">   </w:t>
            </w:r>
          </w:p>
        </w:tc>
        <w:tc>
          <w:tcPr>
            <w:tcW w:w="1552" w:type="dxa"/>
            <w:tcBorders>
              <w:top w:val="nil"/>
              <w:left w:val="nil"/>
              <w:bottom w:val="nil"/>
              <w:right w:val="nil"/>
            </w:tcBorders>
            <w:shd w:val="clear" w:color="000000" w:fill="F2F2F2"/>
            <w:vAlign w:val="center"/>
            <w:hideMark/>
          </w:tcPr>
          <w:p w14:paraId="1C533DB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632" w:type="dxa"/>
            <w:tcBorders>
              <w:top w:val="nil"/>
              <w:left w:val="nil"/>
              <w:bottom w:val="nil"/>
              <w:right w:val="nil"/>
            </w:tcBorders>
            <w:shd w:val="clear" w:color="000000" w:fill="F2F2F2"/>
            <w:vAlign w:val="center"/>
            <w:hideMark/>
          </w:tcPr>
          <w:p w14:paraId="4074924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w:t>
            </w:r>
          </w:p>
        </w:tc>
      </w:tr>
      <w:tr w:rsidR="009D5C48" w:rsidRPr="008F3283" w14:paraId="17D89191" w14:textId="77777777" w:rsidTr="00A461CA">
        <w:trPr>
          <w:trHeight w:val="337"/>
          <w:jc w:val="center"/>
        </w:trPr>
        <w:tc>
          <w:tcPr>
            <w:tcW w:w="4111" w:type="dxa"/>
            <w:tcBorders>
              <w:top w:val="nil"/>
              <w:left w:val="nil"/>
              <w:bottom w:val="single" w:sz="12" w:space="0" w:color="808080"/>
              <w:right w:val="nil"/>
            </w:tcBorders>
            <w:shd w:val="clear" w:color="000000" w:fill="F2F2F2"/>
            <w:vAlign w:val="center"/>
            <w:hideMark/>
          </w:tcPr>
          <w:p w14:paraId="77DCA3B3"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r w:rsidRPr="001F7786">
              <w:rPr>
                <w:rFonts w:ascii="Montserrat" w:eastAsia="Times New Roman" w:hAnsi="Montserrat"/>
                <w:b/>
                <w:bCs/>
                <w:color w:val="000000"/>
                <w:sz w:val="15"/>
                <w:szCs w:val="15"/>
                <w:lang w:val="es-MX" w:eastAsia="es-MX"/>
              </w:rPr>
              <w:t>Total Bienes Muebles</w:t>
            </w:r>
          </w:p>
        </w:tc>
        <w:tc>
          <w:tcPr>
            <w:tcW w:w="1512" w:type="dxa"/>
            <w:tcBorders>
              <w:top w:val="nil"/>
              <w:left w:val="nil"/>
              <w:bottom w:val="single" w:sz="12" w:space="0" w:color="808080"/>
              <w:right w:val="nil"/>
            </w:tcBorders>
            <w:shd w:val="clear" w:color="000000" w:fill="F2F2F2"/>
            <w:vAlign w:val="center"/>
            <w:hideMark/>
          </w:tcPr>
          <w:p w14:paraId="6680FB8B"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xml:space="preserve">48,619,787,135.7 </w:t>
            </w:r>
          </w:p>
        </w:tc>
        <w:tc>
          <w:tcPr>
            <w:tcW w:w="1615" w:type="dxa"/>
            <w:tcBorders>
              <w:top w:val="nil"/>
              <w:left w:val="nil"/>
              <w:bottom w:val="single" w:sz="12" w:space="0" w:color="808080"/>
              <w:right w:val="nil"/>
            </w:tcBorders>
            <w:shd w:val="clear" w:color="000000" w:fill="F2F2F2"/>
            <w:vAlign w:val="center"/>
            <w:hideMark/>
          </w:tcPr>
          <w:p w14:paraId="7D3EE486" w14:textId="77777777" w:rsidR="009D5C48" w:rsidRPr="000A0782" w:rsidRDefault="005E158C"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w:t>
            </w:r>
            <w:r w:rsidR="009D5C48" w:rsidRPr="000A0782">
              <w:rPr>
                <w:rFonts w:ascii="Montserrat" w:hAnsi="Montserrat"/>
                <w:b/>
                <w:bCs/>
                <w:color w:val="000000"/>
                <w:sz w:val="15"/>
                <w:szCs w:val="15"/>
              </w:rPr>
              <w:t xml:space="preserve">41,452,450,232.0 </w:t>
            </w:r>
          </w:p>
        </w:tc>
        <w:tc>
          <w:tcPr>
            <w:tcW w:w="1552" w:type="dxa"/>
            <w:tcBorders>
              <w:top w:val="nil"/>
              <w:left w:val="nil"/>
              <w:bottom w:val="single" w:sz="12" w:space="0" w:color="808080"/>
              <w:right w:val="nil"/>
            </w:tcBorders>
            <w:shd w:val="clear" w:color="000000" w:fill="F2F2F2"/>
            <w:vAlign w:val="center"/>
            <w:hideMark/>
          </w:tcPr>
          <w:p w14:paraId="70D1F17F"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7,167,336,903.7</w:t>
            </w:r>
          </w:p>
        </w:tc>
        <w:tc>
          <w:tcPr>
            <w:tcW w:w="1632" w:type="dxa"/>
            <w:tcBorders>
              <w:top w:val="nil"/>
              <w:left w:val="nil"/>
              <w:bottom w:val="single" w:sz="12" w:space="0" w:color="808080"/>
              <w:right w:val="nil"/>
            </w:tcBorders>
            <w:shd w:val="clear" w:color="000000" w:fill="F2F2F2"/>
            <w:vAlign w:val="center"/>
            <w:hideMark/>
          </w:tcPr>
          <w:p w14:paraId="412A890D"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w:t>
            </w:r>
          </w:p>
        </w:tc>
      </w:tr>
    </w:tbl>
    <w:p w14:paraId="6A5512FB" w14:textId="77777777" w:rsidR="00E67B3C" w:rsidRDefault="00E67B3C" w:rsidP="009D5C48">
      <w:pPr>
        <w:pStyle w:val="TEXTONORMAL"/>
        <w:spacing w:after="0" w:line="240" w:lineRule="auto"/>
      </w:pPr>
    </w:p>
    <w:p w14:paraId="5CC626EF" w14:textId="77777777" w:rsidR="00A461CA" w:rsidRDefault="00A461CA" w:rsidP="004B1F81">
      <w:pPr>
        <w:pStyle w:val="TEXTONORMAL"/>
      </w:pPr>
    </w:p>
    <w:p w14:paraId="38D0936A" w14:textId="77777777" w:rsidR="00A461CA" w:rsidRDefault="00A461CA" w:rsidP="004B1F81">
      <w:pPr>
        <w:pStyle w:val="TEXTONORMAL"/>
      </w:pPr>
    </w:p>
    <w:p w14:paraId="34B41543" w14:textId="77777777" w:rsidR="00A461CA" w:rsidRDefault="00A461CA" w:rsidP="004B1F81">
      <w:pPr>
        <w:pStyle w:val="TEXTONORMAL"/>
      </w:pPr>
    </w:p>
    <w:p w14:paraId="7BA07750" w14:textId="77777777" w:rsidR="009D5C48" w:rsidRDefault="009D5C48" w:rsidP="004B1F81">
      <w:pPr>
        <w:pStyle w:val="TEXTONORMAL"/>
      </w:pPr>
      <w:r>
        <w:lastRenderedPageBreak/>
        <w:t>E</w:t>
      </w:r>
      <w:r w:rsidRPr="00FE0506">
        <w:t xml:space="preserve">l Decreto por el que se reforma y adiciona la Ley General de Salud, publicado en el Diario Oficial de la Federación (DOF) del 15 de mayo de 2003, en particular </w:t>
      </w:r>
      <w:r>
        <w:t>e</w:t>
      </w:r>
      <w:r w:rsidRPr="00FE0506">
        <w:t>l artículo décimo sex</w:t>
      </w:r>
      <w:r>
        <w:t xml:space="preserve">to transitorio de dicha </w:t>
      </w:r>
      <w:r w:rsidR="00AA4CCE">
        <w:t>Ley</w:t>
      </w:r>
      <w:r>
        <w:t xml:space="preserve"> </w:t>
      </w:r>
      <w:r w:rsidRPr="00FE0506">
        <w:t>determina que los bienes muebles e inmuebles con que cuenta el Programa IMSS-Oportunidades (hoy IMSS-BIENESTAR), más aquellos que en lo sucesivo adquiera, formarán parte del patrimonio del Instituto Mexicano del Seguro Social, en adelante el Instituto.</w:t>
      </w:r>
    </w:p>
    <w:p w14:paraId="560E3F4F" w14:textId="77777777" w:rsidR="009D5C48" w:rsidRDefault="009D5C48" w:rsidP="004B1F81">
      <w:pPr>
        <w:pStyle w:val="TEXTONORMAL"/>
      </w:pPr>
      <w:r>
        <w:t>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del Instituto.</w:t>
      </w:r>
    </w:p>
    <w:p w14:paraId="7B9F8E4A" w14:textId="77777777" w:rsidR="00017992" w:rsidRDefault="009D5C48" w:rsidP="004B1F81">
      <w:pPr>
        <w:pStyle w:val="TEXTONORMAL"/>
      </w:pPr>
      <w:r w:rsidRPr="00D0104E">
        <w:t>Por</w:t>
      </w:r>
      <w:r>
        <w:t xml:space="preserve"> lo</w:t>
      </w:r>
      <w:r w:rsidRPr="00D0104E">
        <w:t xml:space="preserve"> tanto, a efecto de cumplir con la LSS, aunque jurídicamente se manifiestan los bienes inmuebles como propiedad del Instituto, los Estados Financieros muestran por separado los bienes que mantiene cada uno para su operación</w:t>
      </w:r>
      <w:r w:rsidR="00977D7F">
        <w:t>.</w:t>
      </w:r>
    </w:p>
    <w:p w14:paraId="3322AFDC" w14:textId="77777777" w:rsidR="00017992" w:rsidRPr="00654D89" w:rsidRDefault="00017992" w:rsidP="004B1F81">
      <w:pPr>
        <w:pStyle w:val="TEXTONORMAL"/>
      </w:pPr>
    </w:p>
    <w:p w14:paraId="54C151E1" w14:textId="77777777" w:rsidR="009D5C48" w:rsidRPr="00DD41FF" w:rsidRDefault="00CF7816" w:rsidP="003F2A12">
      <w:pPr>
        <w:pStyle w:val="VIETAFLECHA"/>
        <w:numPr>
          <w:ilvl w:val="1"/>
          <w:numId w:val="29"/>
        </w:numPr>
        <w:ind w:left="357" w:hanging="357"/>
      </w:pPr>
      <w:r w:rsidRPr="008142BE">
        <w:rPr>
          <w:b/>
        </w:rPr>
        <w:t>1.11</w:t>
      </w:r>
      <w:r w:rsidRPr="00DD41FF">
        <w:t xml:space="preserve"> </w:t>
      </w:r>
      <w:r w:rsidR="009D5C48" w:rsidRPr="00DD41FF">
        <w:t>Activos Intangibles</w:t>
      </w:r>
    </w:p>
    <w:p w14:paraId="176EFF1B" w14:textId="77777777" w:rsidR="009D5C48" w:rsidRDefault="00FA7D34" w:rsidP="004B1F81">
      <w:pPr>
        <w:pStyle w:val="TEXTONORMAL"/>
      </w:pPr>
      <w:r>
        <w:t>Al 30</w:t>
      </w:r>
      <w:r w:rsidR="000C68DF">
        <w:t xml:space="preserve"> de </w:t>
      </w:r>
      <w:r w:rsidR="00233D3E">
        <w:t>septiembre</w:t>
      </w:r>
      <w:r w:rsidR="000C68DF">
        <w:t xml:space="preserve"> de 2022</w:t>
      </w:r>
      <w:r w:rsidR="000C68DF" w:rsidRPr="000B2CE4">
        <w:t xml:space="preserve"> y</w:t>
      </w:r>
      <w:r w:rsidR="000C68DF">
        <w:t xml:space="preserve"> al</w:t>
      </w:r>
      <w:r w:rsidR="000C68DF" w:rsidRPr="000B2CE4">
        <w:t xml:space="preserve"> </w:t>
      </w:r>
      <w:r w:rsidR="000C68DF">
        <w:t>31 de diciembre de 2021</w:t>
      </w:r>
      <w:r w:rsidR="009D5C48" w:rsidRPr="0030177F">
        <w:t>, este rubro se integra de la siguiente manera:</w:t>
      </w:r>
    </w:p>
    <w:p w14:paraId="183D6489" w14:textId="77777777" w:rsidR="009D5C48" w:rsidRDefault="009D5C48" w:rsidP="009D5C48">
      <w:pPr>
        <w:pStyle w:val="TEXTONORMAL"/>
      </w:pPr>
    </w:p>
    <w:tbl>
      <w:tblPr>
        <w:tblW w:w="10276" w:type="dxa"/>
        <w:jc w:val="center"/>
        <w:tblCellMar>
          <w:left w:w="70" w:type="dxa"/>
          <w:right w:w="70" w:type="dxa"/>
        </w:tblCellMar>
        <w:tblLook w:val="04A0" w:firstRow="1" w:lastRow="0" w:firstColumn="1" w:lastColumn="0" w:noHBand="0" w:noVBand="1"/>
      </w:tblPr>
      <w:tblGrid>
        <w:gridCol w:w="5994"/>
        <w:gridCol w:w="2152"/>
        <w:gridCol w:w="2130"/>
      </w:tblGrid>
      <w:tr w:rsidR="003248F1" w:rsidRPr="003248F1" w14:paraId="1545951D" w14:textId="77777777" w:rsidTr="003248F1">
        <w:trPr>
          <w:trHeight w:val="282"/>
          <w:jc w:val="center"/>
        </w:trPr>
        <w:tc>
          <w:tcPr>
            <w:tcW w:w="599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6469851" w14:textId="77777777" w:rsidR="003248F1" w:rsidRPr="003248F1" w:rsidRDefault="003248F1" w:rsidP="003248F1">
            <w:pPr>
              <w:spacing w:after="0" w:line="240" w:lineRule="auto"/>
              <w:jc w:val="center"/>
              <w:rPr>
                <w:rFonts w:ascii="Montserrat" w:eastAsia="Times New Roman" w:hAnsi="Montserrat"/>
                <w:b/>
                <w:bCs/>
                <w:color w:val="FFFFFF"/>
                <w:sz w:val="16"/>
                <w:szCs w:val="16"/>
                <w:lang w:val="es-MX" w:eastAsia="es-MX"/>
              </w:rPr>
            </w:pPr>
            <w:r w:rsidRPr="003248F1">
              <w:rPr>
                <w:rFonts w:ascii="Montserrat" w:eastAsia="Times New Roman" w:hAnsi="Montserrat"/>
                <w:b/>
                <w:bCs/>
                <w:color w:val="FFFFFF"/>
                <w:sz w:val="16"/>
                <w:szCs w:val="16"/>
                <w:lang w:val="es-MX" w:eastAsia="es-MX"/>
              </w:rPr>
              <w:t>Concepto</w:t>
            </w:r>
          </w:p>
        </w:tc>
        <w:tc>
          <w:tcPr>
            <w:tcW w:w="428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D4E05E9" w14:textId="77777777" w:rsidR="003248F1" w:rsidRPr="003248F1" w:rsidRDefault="003248F1" w:rsidP="003248F1">
            <w:pPr>
              <w:spacing w:after="0" w:line="240" w:lineRule="auto"/>
              <w:jc w:val="center"/>
              <w:rPr>
                <w:rFonts w:ascii="Montserrat" w:eastAsia="Times New Roman" w:hAnsi="Montserrat"/>
                <w:b/>
                <w:bCs/>
                <w:color w:val="FFFFFF"/>
                <w:sz w:val="16"/>
                <w:szCs w:val="16"/>
                <w:lang w:val="es-MX" w:eastAsia="es-MX"/>
              </w:rPr>
            </w:pPr>
            <w:r w:rsidRPr="003248F1">
              <w:rPr>
                <w:rFonts w:ascii="Montserrat" w:eastAsia="Times New Roman" w:hAnsi="Montserrat"/>
                <w:b/>
                <w:bCs/>
                <w:color w:val="FFFFFF"/>
                <w:sz w:val="16"/>
                <w:szCs w:val="16"/>
                <w:lang w:val="es-MX" w:eastAsia="es-MX"/>
              </w:rPr>
              <w:t>Cifras en pesos</w:t>
            </w:r>
          </w:p>
        </w:tc>
      </w:tr>
      <w:tr w:rsidR="003248F1" w:rsidRPr="003248F1" w14:paraId="69A40816" w14:textId="77777777" w:rsidTr="003248F1">
        <w:trPr>
          <w:trHeight w:val="282"/>
          <w:jc w:val="center"/>
        </w:trPr>
        <w:tc>
          <w:tcPr>
            <w:tcW w:w="5994" w:type="dxa"/>
            <w:vMerge/>
            <w:tcBorders>
              <w:top w:val="single" w:sz="12" w:space="0" w:color="808080"/>
              <w:left w:val="single" w:sz="12" w:space="0" w:color="FFFFFF"/>
              <w:bottom w:val="double" w:sz="6" w:space="0" w:color="808080"/>
              <w:right w:val="single" w:sz="12" w:space="0" w:color="FFFFFF"/>
            </w:tcBorders>
            <w:vAlign w:val="center"/>
            <w:hideMark/>
          </w:tcPr>
          <w:p w14:paraId="2976285E" w14:textId="77777777" w:rsidR="003248F1" w:rsidRPr="003248F1" w:rsidRDefault="003248F1" w:rsidP="003248F1">
            <w:pPr>
              <w:spacing w:after="0" w:line="240" w:lineRule="auto"/>
              <w:rPr>
                <w:rFonts w:ascii="Montserrat" w:eastAsia="Times New Roman" w:hAnsi="Montserrat"/>
                <w:b/>
                <w:bCs/>
                <w:color w:val="FFFFFF"/>
                <w:sz w:val="16"/>
                <w:szCs w:val="16"/>
                <w:lang w:val="es-MX" w:eastAsia="es-MX"/>
              </w:rPr>
            </w:pPr>
          </w:p>
        </w:tc>
        <w:tc>
          <w:tcPr>
            <w:tcW w:w="2152" w:type="dxa"/>
            <w:tcBorders>
              <w:top w:val="nil"/>
              <w:left w:val="nil"/>
              <w:bottom w:val="double" w:sz="6" w:space="0" w:color="808080"/>
              <w:right w:val="single" w:sz="12" w:space="0" w:color="FFFFFF"/>
            </w:tcBorders>
            <w:shd w:val="clear" w:color="000000" w:fill="D4C19C"/>
            <w:vAlign w:val="center"/>
            <w:hideMark/>
          </w:tcPr>
          <w:p w14:paraId="34F765C8" w14:textId="77777777" w:rsidR="003248F1" w:rsidRPr="003248F1" w:rsidRDefault="003248F1" w:rsidP="003248F1">
            <w:pPr>
              <w:spacing w:after="0" w:line="240" w:lineRule="auto"/>
              <w:jc w:val="center"/>
              <w:rPr>
                <w:rFonts w:ascii="Montserrat" w:eastAsia="Times New Roman" w:hAnsi="Montserrat"/>
                <w:b/>
                <w:bCs/>
                <w:color w:val="FFFFFF"/>
                <w:sz w:val="16"/>
                <w:szCs w:val="16"/>
                <w:lang w:val="es-MX" w:eastAsia="es-MX"/>
              </w:rPr>
            </w:pPr>
            <w:r w:rsidRPr="003248F1">
              <w:rPr>
                <w:rFonts w:ascii="Montserrat" w:eastAsia="Times New Roman" w:hAnsi="Montserrat"/>
                <w:b/>
                <w:bCs/>
                <w:color w:val="FFFFFF"/>
                <w:sz w:val="16"/>
                <w:szCs w:val="16"/>
                <w:lang w:val="es-MX" w:eastAsia="es-MX"/>
              </w:rPr>
              <w:t>2022</w:t>
            </w:r>
          </w:p>
        </w:tc>
        <w:tc>
          <w:tcPr>
            <w:tcW w:w="2129" w:type="dxa"/>
            <w:tcBorders>
              <w:top w:val="nil"/>
              <w:left w:val="nil"/>
              <w:bottom w:val="double" w:sz="6" w:space="0" w:color="808080"/>
              <w:right w:val="single" w:sz="12" w:space="0" w:color="FFFFFF"/>
            </w:tcBorders>
            <w:shd w:val="clear" w:color="000000" w:fill="D4C19C"/>
            <w:vAlign w:val="center"/>
            <w:hideMark/>
          </w:tcPr>
          <w:p w14:paraId="12087603" w14:textId="77777777" w:rsidR="003248F1" w:rsidRPr="003248F1" w:rsidRDefault="003248F1" w:rsidP="003248F1">
            <w:pPr>
              <w:spacing w:after="0" w:line="240" w:lineRule="auto"/>
              <w:jc w:val="center"/>
              <w:rPr>
                <w:rFonts w:ascii="Montserrat" w:eastAsia="Times New Roman" w:hAnsi="Montserrat"/>
                <w:b/>
                <w:bCs/>
                <w:color w:val="FFFFFF"/>
                <w:sz w:val="16"/>
                <w:szCs w:val="16"/>
                <w:lang w:val="es-MX" w:eastAsia="es-MX"/>
              </w:rPr>
            </w:pPr>
            <w:r w:rsidRPr="003248F1">
              <w:rPr>
                <w:rFonts w:ascii="Montserrat" w:eastAsia="Times New Roman" w:hAnsi="Montserrat"/>
                <w:b/>
                <w:bCs/>
                <w:color w:val="FFFFFF"/>
                <w:sz w:val="16"/>
                <w:szCs w:val="16"/>
                <w:lang w:val="es-MX" w:eastAsia="es-MX"/>
              </w:rPr>
              <w:t>2021</w:t>
            </w:r>
          </w:p>
        </w:tc>
      </w:tr>
      <w:tr w:rsidR="003248F1" w:rsidRPr="003248F1" w14:paraId="0739EA6C" w14:textId="77777777" w:rsidTr="003248F1">
        <w:trPr>
          <w:trHeight w:val="268"/>
          <w:jc w:val="center"/>
        </w:trPr>
        <w:tc>
          <w:tcPr>
            <w:tcW w:w="5994" w:type="dxa"/>
            <w:tcBorders>
              <w:top w:val="nil"/>
              <w:left w:val="nil"/>
              <w:bottom w:val="nil"/>
              <w:right w:val="nil"/>
            </w:tcBorders>
            <w:shd w:val="clear" w:color="000000" w:fill="F2F2F2"/>
            <w:vAlign w:val="center"/>
            <w:hideMark/>
          </w:tcPr>
          <w:p w14:paraId="54D71A45" w14:textId="77777777" w:rsidR="003248F1" w:rsidRPr="003248F1" w:rsidRDefault="003248F1" w:rsidP="003248F1">
            <w:pPr>
              <w:spacing w:after="0" w:line="240" w:lineRule="auto"/>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 xml:space="preserve">Obligaciones Laborales </w:t>
            </w:r>
            <w:r w:rsidRPr="003248F1">
              <w:rPr>
                <w:rFonts w:ascii="Montserrat" w:eastAsia="Times New Roman" w:hAnsi="Montserrat"/>
                <w:b/>
                <w:bCs/>
                <w:color w:val="000000"/>
                <w:sz w:val="15"/>
                <w:szCs w:val="15"/>
                <w:lang w:val="es-MX" w:eastAsia="es-MX"/>
              </w:rPr>
              <w:t>(1.11.a)</w:t>
            </w:r>
          </w:p>
        </w:tc>
        <w:tc>
          <w:tcPr>
            <w:tcW w:w="2152" w:type="dxa"/>
            <w:tcBorders>
              <w:top w:val="nil"/>
              <w:left w:val="nil"/>
              <w:bottom w:val="nil"/>
              <w:right w:val="nil"/>
            </w:tcBorders>
            <w:shd w:val="clear" w:color="000000" w:fill="F2F2F2"/>
            <w:vAlign w:val="center"/>
            <w:hideMark/>
          </w:tcPr>
          <w:p w14:paraId="5B17A095" w14:textId="77777777" w:rsidR="003248F1" w:rsidRPr="003248F1" w:rsidRDefault="003248F1" w:rsidP="003248F1">
            <w:pPr>
              <w:spacing w:after="0" w:line="240" w:lineRule="auto"/>
              <w:jc w:val="right"/>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73,522,114,072.8</w:t>
            </w:r>
          </w:p>
        </w:tc>
        <w:tc>
          <w:tcPr>
            <w:tcW w:w="2129" w:type="dxa"/>
            <w:tcBorders>
              <w:top w:val="nil"/>
              <w:left w:val="nil"/>
              <w:bottom w:val="nil"/>
              <w:right w:val="nil"/>
            </w:tcBorders>
            <w:shd w:val="clear" w:color="000000" w:fill="F2F2F2"/>
            <w:vAlign w:val="center"/>
            <w:hideMark/>
          </w:tcPr>
          <w:p w14:paraId="347853F7" w14:textId="77777777" w:rsidR="003248F1" w:rsidRPr="003248F1" w:rsidRDefault="003248F1" w:rsidP="003248F1">
            <w:pPr>
              <w:spacing w:after="0" w:line="240" w:lineRule="auto"/>
              <w:jc w:val="right"/>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74,532,412,209.9</w:t>
            </w:r>
          </w:p>
        </w:tc>
      </w:tr>
      <w:tr w:rsidR="003248F1" w:rsidRPr="003248F1" w14:paraId="60832C1D" w14:textId="77777777" w:rsidTr="003248F1">
        <w:trPr>
          <w:trHeight w:val="255"/>
          <w:jc w:val="center"/>
        </w:trPr>
        <w:tc>
          <w:tcPr>
            <w:tcW w:w="5994" w:type="dxa"/>
            <w:tcBorders>
              <w:top w:val="nil"/>
              <w:left w:val="nil"/>
              <w:bottom w:val="nil"/>
              <w:right w:val="nil"/>
            </w:tcBorders>
            <w:shd w:val="clear" w:color="000000" w:fill="F2F2F2"/>
            <w:vAlign w:val="center"/>
            <w:hideMark/>
          </w:tcPr>
          <w:p w14:paraId="53E2F3D8" w14:textId="77777777" w:rsidR="003248F1" w:rsidRPr="003248F1" w:rsidRDefault="003248F1" w:rsidP="003248F1">
            <w:pPr>
              <w:spacing w:after="0" w:line="240" w:lineRule="auto"/>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 xml:space="preserve">Concesiones </w:t>
            </w:r>
            <w:r w:rsidRPr="003248F1">
              <w:rPr>
                <w:rFonts w:ascii="Montserrat" w:eastAsia="Times New Roman" w:hAnsi="Montserrat"/>
                <w:b/>
                <w:bCs/>
                <w:color w:val="000000"/>
                <w:sz w:val="15"/>
                <w:szCs w:val="15"/>
                <w:lang w:val="es-MX" w:eastAsia="es-MX"/>
              </w:rPr>
              <w:t>(1.11.b)</w:t>
            </w:r>
          </w:p>
        </w:tc>
        <w:tc>
          <w:tcPr>
            <w:tcW w:w="2152" w:type="dxa"/>
            <w:tcBorders>
              <w:top w:val="nil"/>
              <w:left w:val="nil"/>
              <w:bottom w:val="nil"/>
              <w:right w:val="nil"/>
            </w:tcBorders>
            <w:shd w:val="clear" w:color="000000" w:fill="F2F2F2"/>
            <w:vAlign w:val="center"/>
            <w:hideMark/>
          </w:tcPr>
          <w:p w14:paraId="44B191AA" w14:textId="77777777" w:rsidR="003248F1" w:rsidRPr="003248F1" w:rsidRDefault="003248F1" w:rsidP="003248F1">
            <w:pPr>
              <w:spacing w:after="0" w:line="240" w:lineRule="auto"/>
              <w:jc w:val="right"/>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4,043,589.0</w:t>
            </w:r>
          </w:p>
        </w:tc>
        <w:tc>
          <w:tcPr>
            <w:tcW w:w="2129" w:type="dxa"/>
            <w:tcBorders>
              <w:top w:val="nil"/>
              <w:left w:val="nil"/>
              <w:bottom w:val="nil"/>
              <w:right w:val="nil"/>
            </w:tcBorders>
            <w:shd w:val="clear" w:color="000000" w:fill="F2F2F2"/>
            <w:vAlign w:val="center"/>
            <w:hideMark/>
          </w:tcPr>
          <w:p w14:paraId="6B2E0BAF" w14:textId="77777777" w:rsidR="003248F1" w:rsidRPr="003248F1" w:rsidRDefault="003248F1" w:rsidP="003248F1">
            <w:pPr>
              <w:spacing w:after="0" w:line="240" w:lineRule="auto"/>
              <w:jc w:val="right"/>
              <w:rPr>
                <w:rFonts w:ascii="Montserrat" w:eastAsia="Times New Roman" w:hAnsi="Montserrat"/>
                <w:color w:val="000000"/>
                <w:sz w:val="15"/>
                <w:szCs w:val="15"/>
                <w:lang w:val="es-MX" w:eastAsia="es-MX"/>
              </w:rPr>
            </w:pPr>
            <w:r w:rsidRPr="003248F1">
              <w:rPr>
                <w:rFonts w:ascii="Montserrat" w:eastAsia="Times New Roman" w:hAnsi="Montserrat"/>
                <w:color w:val="000000"/>
                <w:sz w:val="15"/>
                <w:szCs w:val="15"/>
                <w:lang w:val="es-MX" w:eastAsia="es-MX"/>
              </w:rPr>
              <w:t>4,043,589.0</w:t>
            </w:r>
          </w:p>
        </w:tc>
      </w:tr>
      <w:tr w:rsidR="003248F1" w:rsidRPr="003248F1" w14:paraId="02182D49" w14:textId="77777777" w:rsidTr="003248F1">
        <w:trPr>
          <w:trHeight w:val="268"/>
          <w:jc w:val="center"/>
        </w:trPr>
        <w:tc>
          <w:tcPr>
            <w:tcW w:w="5994" w:type="dxa"/>
            <w:tcBorders>
              <w:top w:val="nil"/>
              <w:left w:val="nil"/>
              <w:bottom w:val="single" w:sz="12" w:space="0" w:color="808080"/>
              <w:right w:val="nil"/>
            </w:tcBorders>
            <w:shd w:val="clear" w:color="000000" w:fill="F2F2F2"/>
            <w:vAlign w:val="center"/>
            <w:hideMark/>
          </w:tcPr>
          <w:p w14:paraId="234031F9" w14:textId="77777777" w:rsidR="003248F1" w:rsidRPr="003248F1" w:rsidRDefault="003248F1" w:rsidP="003248F1">
            <w:pPr>
              <w:spacing w:after="0" w:line="240" w:lineRule="auto"/>
              <w:rPr>
                <w:rFonts w:ascii="Montserrat" w:eastAsia="Times New Roman" w:hAnsi="Montserrat"/>
                <w:b/>
                <w:bCs/>
                <w:color w:val="000000"/>
                <w:sz w:val="15"/>
                <w:szCs w:val="15"/>
                <w:lang w:val="es-MX" w:eastAsia="es-MX"/>
              </w:rPr>
            </w:pPr>
            <w:r w:rsidRPr="003248F1">
              <w:rPr>
                <w:rFonts w:ascii="Montserrat" w:eastAsia="Times New Roman" w:hAnsi="Montserrat"/>
                <w:b/>
                <w:bCs/>
                <w:color w:val="000000"/>
                <w:sz w:val="15"/>
                <w:szCs w:val="15"/>
                <w:lang w:val="es-MX" w:eastAsia="es-MX"/>
              </w:rPr>
              <w:t>Total Activos Intangibles</w:t>
            </w:r>
          </w:p>
        </w:tc>
        <w:tc>
          <w:tcPr>
            <w:tcW w:w="2152" w:type="dxa"/>
            <w:tcBorders>
              <w:top w:val="nil"/>
              <w:left w:val="nil"/>
              <w:bottom w:val="single" w:sz="12" w:space="0" w:color="808080"/>
              <w:right w:val="nil"/>
            </w:tcBorders>
            <w:shd w:val="clear" w:color="000000" w:fill="F2F2F2"/>
            <w:vAlign w:val="center"/>
            <w:hideMark/>
          </w:tcPr>
          <w:p w14:paraId="70C9E456" w14:textId="77777777" w:rsidR="003248F1" w:rsidRPr="003248F1" w:rsidRDefault="003248F1" w:rsidP="003248F1">
            <w:pPr>
              <w:spacing w:after="0" w:line="240" w:lineRule="auto"/>
              <w:jc w:val="right"/>
              <w:rPr>
                <w:rFonts w:ascii="Montserrat" w:eastAsia="Times New Roman" w:hAnsi="Montserrat"/>
                <w:b/>
                <w:bCs/>
                <w:color w:val="000000"/>
                <w:sz w:val="15"/>
                <w:szCs w:val="15"/>
                <w:lang w:val="es-MX" w:eastAsia="es-MX"/>
              </w:rPr>
            </w:pPr>
            <w:r w:rsidRPr="003248F1">
              <w:rPr>
                <w:rFonts w:ascii="Montserrat" w:eastAsia="Times New Roman" w:hAnsi="Montserrat"/>
                <w:b/>
                <w:bCs/>
                <w:color w:val="000000"/>
                <w:sz w:val="15"/>
                <w:szCs w:val="15"/>
                <w:lang w:val="es-MX" w:eastAsia="es-MX"/>
              </w:rPr>
              <w:t>73,526,157,661.8</w:t>
            </w:r>
          </w:p>
        </w:tc>
        <w:tc>
          <w:tcPr>
            <w:tcW w:w="2129" w:type="dxa"/>
            <w:tcBorders>
              <w:top w:val="nil"/>
              <w:left w:val="nil"/>
              <w:bottom w:val="single" w:sz="12" w:space="0" w:color="808080"/>
              <w:right w:val="nil"/>
            </w:tcBorders>
            <w:shd w:val="clear" w:color="000000" w:fill="F2F2F2"/>
            <w:vAlign w:val="center"/>
            <w:hideMark/>
          </w:tcPr>
          <w:p w14:paraId="0C49B101" w14:textId="77777777" w:rsidR="003248F1" w:rsidRPr="003248F1" w:rsidRDefault="003248F1" w:rsidP="003248F1">
            <w:pPr>
              <w:spacing w:after="0" w:line="240" w:lineRule="auto"/>
              <w:jc w:val="right"/>
              <w:rPr>
                <w:rFonts w:ascii="Montserrat" w:eastAsia="Times New Roman" w:hAnsi="Montserrat"/>
                <w:b/>
                <w:bCs/>
                <w:color w:val="000000"/>
                <w:sz w:val="15"/>
                <w:szCs w:val="15"/>
                <w:lang w:val="es-MX" w:eastAsia="es-MX"/>
              </w:rPr>
            </w:pPr>
            <w:r w:rsidRPr="003248F1">
              <w:rPr>
                <w:rFonts w:ascii="Montserrat" w:eastAsia="Times New Roman" w:hAnsi="Montserrat"/>
                <w:b/>
                <w:bCs/>
                <w:color w:val="000000"/>
                <w:sz w:val="15"/>
                <w:szCs w:val="15"/>
                <w:lang w:val="es-MX" w:eastAsia="es-MX"/>
              </w:rPr>
              <w:t>74,536,455,798.9</w:t>
            </w:r>
          </w:p>
        </w:tc>
      </w:tr>
    </w:tbl>
    <w:p w14:paraId="748E0CA7" w14:textId="77777777" w:rsidR="009D5C48" w:rsidRDefault="009D5C48" w:rsidP="009D5C48">
      <w:pPr>
        <w:pStyle w:val="TEXTONORMAL"/>
      </w:pPr>
    </w:p>
    <w:p w14:paraId="08885949" w14:textId="77777777" w:rsidR="009D5C48" w:rsidRDefault="009D5C48" w:rsidP="003F2A12">
      <w:pPr>
        <w:pStyle w:val="TEXTONORMAL"/>
        <w:numPr>
          <w:ilvl w:val="0"/>
          <w:numId w:val="30"/>
        </w:numPr>
        <w:rPr>
          <w:lang w:val="es-MX"/>
        </w:rPr>
      </w:pPr>
      <w:r>
        <w:rPr>
          <w:b/>
          <w:lang w:val="es-MX"/>
        </w:rPr>
        <w:t>1.11.a</w:t>
      </w:r>
      <w:r w:rsidRPr="00A50EDF">
        <w:rPr>
          <w:b/>
          <w:lang w:val="es-MX"/>
        </w:rPr>
        <w:t>)</w:t>
      </w:r>
      <w:r>
        <w:rPr>
          <w:lang w:val="es-MX"/>
        </w:rPr>
        <w:t xml:space="preserve"> </w:t>
      </w:r>
      <w:r w:rsidRPr="0030177F">
        <w:rPr>
          <w:lang w:val="es-MX"/>
        </w:rPr>
        <w:t>El Instituto presenta en el activo intangible las obligaciones laborales no fondeadas y ya reconocidas en los resultados de ejercicios anteriores, en cumplimiento a</w:t>
      </w:r>
      <w:r w:rsidR="0034001B">
        <w:rPr>
          <w:lang w:val="es-MX"/>
        </w:rPr>
        <w:t xml:space="preserve"> los </w:t>
      </w:r>
      <w:r w:rsidR="004C1A21">
        <w:rPr>
          <w:lang w:val="es-MX"/>
        </w:rPr>
        <w:t>“Lineamientos C</w:t>
      </w:r>
      <w:r w:rsidR="0034001B">
        <w:rPr>
          <w:lang w:val="es-MX"/>
        </w:rPr>
        <w:t>ontables</w:t>
      </w:r>
      <w:r w:rsidR="004C1A21">
        <w:rPr>
          <w:lang w:val="es-MX"/>
        </w:rPr>
        <w:t>”</w:t>
      </w:r>
      <w:r w:rsidR="0034001B">
        <w:rPr>
          <w:lang w:val="es-MX"/>
        </w:rPr>
        <w:t>, inciso E</w:t>
      </w:r>
      <w:r w:rsidRPr="0030177F">
        <w:rPr>
          <w:lang w:val="es-MX"/>
        </w:rPr>
        <w:t xml:space="preserve"> </w:t>
      </w:r>
      <w:r>
        <w:rPr>
          <w:lang w:val="es-MX"/>
        </w:rPr>
        <w:t>“</w:t>
      </w:r>
      <w:r w:rsidRPr="0030177F">
        <w:rPr>
          <w:lang w:val="es-MX"/>
        </w:rPr>
        <w:t>Obligaciones Laborales</w:t>
      </w:r>
      <w:r>
        <w:rPr>
          <w:lang w:val="es-MX"/>
        </w:rPr>
        <w:t>”</w:t>
      </w:r>
      <w:r w:rsidRPr="0030177F">
        <w:rPr>
          <w:lang w:val="es-MX"/>
        </w:rPr>
        <w:t>, así como a la guía</w:t>
      </w:r>
      <w:r w:rsidR="0034001B">
        <w:rPr>
          <w:lang w:val="es-MX"/>
        </w:rPr>
        <w:t xml:space="preserve"> contabilizadora</w:t>
      </w:r>
      <w:r w:rsidRPr="0030177F">
        <w:rPr>
          <w:lang w:val="es-MX"/>
        </w:rPr>
        <w:t xml:space="preserve"> 33 Obligaciones Laborales</w:t>
      </w:r>
      <w:r w:rsidR="008142BE">
        <w:rPr>
          <w:lang w:val="es-MX"/>
        </w:rPr>
        <w:t>, ambo</w:t>
      </w:r>
      <w:r w:rsidR="0034001B">
        <w:rPr>
          <w:lang w:val="es-MX"/>
        </w:rPr>
        <w:t xml:space="preserve">s </w:t>
      </w:r>
      <w:r w:rsidRPr="0030177F">
        <w:rPr>
          <w:lang w:val="es-MX"/>
        </w:rPr>
        <w:t>incluid</w:t>
      </w:r>
      <w:r w:rsidR="008142BE">
        <w:rPr>
          <w:lang w:val="es-MX"/>
        </w:rPr>
        <w:t>o</w:t>
      </w:r>
      <w:r w:rsidR="0034001B">
        <w:rPr>
          <w:lang w:val="es-MX"/>
        </w:rPr>
        <w:t>s</w:t>
      </w:r>
      <w:r w:rsidRPr="0030177F">
        <w:rPr>
          <w:lang w:val="es-MX"/>
        </w:rPr>
        <w:t xml:space="preserve"> en el MCGSPF</w:t>
      </w:r>
      <w:r w:rsidR="008142BE">
        <w:rPr>
          <w:lang w:val="es-MX"/>
        </w:rPr>
        <w:t xml:space="preserve"> emitido</w:t>
      </w:r>
      <w:r w:rsidRPr="0030177F">
        <w:rPr>
          <w:lang w:val="es-MX"/>
        </w:rPr>
        <w:t xml:space="preserve"> por la Unidad de Contabilidad Gubernamental </w:t>
      </w:r>
      <w:r>
        <w:rPr>
          <w:lang w:val="es-MX"/>
        </w:rPr>
        <w:t xml:space="preserve">(UCG) </w:t>
      </w:r>
      <w:r w:rsidRPr="0030177F">
        <w:rPr>
          <w:lang w:val="es-MX"/>
        </w:rPr>
        <w:t xml:space="preserve">de la </w:t>
      </w:r>
      <w:r>
        <w:rPr>
          <w:lang w:val="es-MX"/>
        </w:rPr>
        <w:t>SHCP</w:t>
      </w:r>
      <w:r w:rsidRPr="0030177F">
        <w:rPr>
          <w:lang w:val="es-MX"/>
        </w:rPr>
        <w:t>.</w:t>
      </w:r>
    </w:p>
    <w:p w14:paraId="71D5FE3D" w14:textId="77777777" w:rsidR="00A461CA" w:rsidRDefault="00A461CA" w:rsidP="00A461CA">
      <w:pPr>
        <w:pStyle w:val="TEXTONORMAL"/>
        <w:ind w:left="720"/>
        <w:rPr>
          <w:lang w:val="es-MX"/>
        </w:rPr>
      </w:pPr>
    </w:p>
    <w:p w14:paraId="39875742" w14:textId="77777777" w:rsidR="004D2496" w:rsidRPr="00274C14" w:rsidRDefault="009D5C48" w:rsidP="003F2A12">
      <w:pPr>
        <w:pStyle w:val="TEXTONORMAL"/>
        <w:numPr>
          <w:ilvl w:val="0"/>
          <w:numId w:val="30"/>
        </w:numPr>
        <w:rPr>
          <w:lang w:val="es-MX"/>
        </w:rPr>
      </w:pPr>
      <w:r>
        <w:rPr>
          <w:b/>
          <w:lang w:val="es-MX"/>
        </w:rPr>
        <w:t>1.11.b</w:t>
      </w:r>
      <w:r w:rsidRPr="00A50EDF">
        <w:rPr>
          <w:b/>
          <w:lang w:val="es-MX"/>
        </w:rPr>
        <w:t>)</w:t>
      </w:r>
      <w:r>
        <w:rPr>
          <w:lang w:val="es-MX"/>
        </w:rPr>
        <w:t xml:space="preserve"> </w:t>
      </w: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14:paraId="182B4470" w14:textId="77777777" w:rsidR="00F45889" w:rsidRDefault="00F45889" w:rsidP="00F45889">
      <w:pPr>
        <w:pStyle w:val="TEXTONORMAL"/>
        <w:rPr>
          <w:lang w:val="es-MX"/>
        </w:rPr>
      </w:pPr>
    </w:p>
    <w:p w14:paraId="4EED3EC6" w14:textId="77777777" w:rsidR="00A461CA" w:rsidRDefault="00A461CA" w:rsidP="00F45889">
      <w:pPr>
        <w:pStyle w:val="TEXTONORMAL"/>
        <w:rPr>
          <w:lang w:val="es-MX"/>
        </w:rPr>
      </w:pPr>
    </w:p>
    <w:p w14:paraId="7E8E13B5" w14:textId="77777777" w:rsidR="00A461CA" w:rsidRDefault="00A461CA" w:rsidP="00F45889">
      <w:pPr>
        <w:pStyle w:val="TEXTONORMAL"/>
        <w:rPr>
          <w:lang w:val="es-MX"/>
        </w:rPr>
      </w:pPr>
    </w:p>
    <w:p w14:paraId="2B970888" w14:textId="77777777" w:rsidR="00A461CA" w:rsidRDefault="00A461CA" w:rsidP="00F45889">
      <w:pPr>
        <w:pStyle w:val="TEXTONORMAL"/>
        <w:rPr>
          <w:lang w:val="es-MX"/>
        </w:rPr>
      </w:pPr>
    </w:p>
    <w:p w14:paraId="5C2F13F5" w14:textId="77777777" w:rsidR="00A461CA" w:rsidRPr="00A461CA" w:rsidRDefault="00A461CA" w:rsidP="00F45889">
      <w:pPr>
        <w:pStyle w:val="TEXTONORMAL"/>
        <w:rPr>
          <w:lang w:val="es-MX"/>
        </w:rPr>
      </w:pPr>
    </w:p>
    <w:p w14:paraId="151D93F2" w14:textId="77777777" w:rsidR="009D5C48" w:rsidRPr="00B64DA6" w:rsidRDefault="009D5C48" w:rsidP="003F2A12">
      <w:pPr>
        <w:pStyle w:val="VIETAFLECHA"/>
        <w:numPr>
          <w:ilvl w:val="0"/>
          <w:numId w:val="31"/>
        </w:numPr>
        <w:ind w:left="357" w:hanging="357"/>
      </w:pPr>
      <w:r w:rsidRPr="00B64DA6">
        <w:lastRenderedPageBreak/>
        <w:t>Depreciaciones, Deterioro y Amortización Acumulada de Bienes</w:t>
      </w:r>
    </w:p>
    <w:p w14:paraId="2AC15AA5" w14:textId="77777777" w:rsidR="009D5C48" w:rsidRDefault="008D5EAE" w:rsidP="009D5C48">
      <w:pPr>
        <w:pStyle w:val="TEXTONORMAL"/>
      </w:pPr>
      <w:r>
        <w:t>Al 30</w:t>
      </w:r>
      <w:r w:rsidR="00FD5976">
        <w:t xml:space="preserve"> de septiembre</w:t>
      </w:r>
      <w:r w:rsidR="000C68DF">
        <w:t xml:space="preserve"> de 2022</w:t>
      </w:r>
      <w:r w:rsidR="000C68DF" w:rsidRPr="000B2CE4">
        <w:t xml:space="preserve"> y</w:t>
      </w:r>
      <w:r w:rsidR="000C68DF">
        <w:t xml:space="preserve"> al</w:t>
      </w:r>
      <w:r w:rsidR="000C68DF" w:rsidRPr="000B2CE4">
        <w:t xml:space="preserve"> </w:t>
      </w:r>
      <w:r w:rsidR="000C68DF">
        <w:t>31 de diciembre de 2021</w:t>
      </w:r>
      <w:r w:rsidR="009D5C48" w:rsidRPr="00843A67">
        <w:t>, este rubro se integra de la siguiente manera:</w:t>
      </w:r>
    </w:p>
    <w:p w14:paraId="56BF3A77" w14:textId="77777777" w:rsidR="000C68DF" w:rsidRDefault="000C68DF" w:rsidP="009D5C48">
      <w:pPr>
        <w:pStyle w:val="TEXTONORMAL"/>
      </w:pPr>
    </w:p>
    <w:tbl>
      <w:tblPr>
        <w:tblW w:w="10315" w:type="dxa"/>
        <w:jc w:val="center"/>
        <w:tblCellMar>
          <w:left w:w="70" w:type="dxa"/>
          <w:right w:w="70" w:type="dxa"/>
        </w:tblCellMar>
        <w:tblLook w:val="04A0" w:firstRow="1" w:lastRow="0" w:firstColumn="1" w:lastColumn="0" w:noHBand="0" w:noVBand="1"/>
      </w:tblPr>
      <w:tblGrid>
        <w:gridCol w:w="6016"/>
        <w:gridCol w:w="2161"/>
        <w:gridCol w:w="2138"/>
      </w:tblGrid>
      <w:tr w:rsidR="00D7560A" w:rsidRPr="00D7560A" w14:paraId="684289E3" w14:textId="77777777" w:rsidTr="00A461CA">
        <w:trPr>
          <w:trHeight w:val="307"/>
          <w:jc w:val="center"/>
        </w:trPr>
        <w:tc>
          <w:tcPr>
            <w:tcW w:w="601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132CEDC" w14:textId="77777777" w:rsidR="00D7560A" w:rsidRPr="00D7560A" w:rsidRDefault="00D7560A" w:rsidP="00D7560A">
            <w:pPr>
              <w:spacing w:after="0" w:line="240" w:lineRule="auto"/>
              <w:jc w:val="center"/>
              <w:rPr>
                <w:rFonts w:ascii="Montserrat" w:eastAsia="Times New Roman" w:hAnsi="Montserrat"/>
                <w:b/>
                <w:bCs/>
                <w:color w:val="FFFFFF"/>
                <w:sz w:val="16"/>
                <w:szCs w:val="16"/>
                <w:lang w:val="es-MX" w:eastAsia="es-MX"/>
              </w:rPr>
            </w:pPr>
            <w:r w:rsidRPr="00D7560A">
              <w:rPr>
                <w:rFonts w:ascii="Montserrat" w:eastAsia="Times New Roman" w:hAnsi="Montserrat"/>
                <w:b/>
                <w:bCs/>
                <w:color w:val="FFFFFF"/>
                <w:sz w:val="16"/>
                <w:szCs w:val="16"/>
                <w:lang w:val="es-MX" w:eastAsia="es-MX"/>
              </w:rPr>
              <w:t>Concepto</w:t>
            </w:r>
          </w:p>
        </w:tc>
        <w:tc>
          <w:tcPr>
            <w:tcW w:w="429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536896B" w14:textId="77777777" w:rsidR="00D7560A" w:rsidRPr="00D7560A" w:rsidRDefault="00D7560A" w:rsidP="00D7560A">
            <w:pPr>
              <w:spacing w:after="0" w:line="240" w:lineRule="auto"/>
              <w:jc w:val="center"/>
              <w:rPr>
                <w:rFonts w:ascii="Montserrat" w:eastAsia="Times New Roman" w:hAnsi="Montserrat"/>
                <w:b/>
                <w:bCs/>
                <w:color w:val="FFFFFF"/>
                <w:sz w:val="16"/>
                <w:szCs w:val="16"/>
                <w:lang w:val="es-MX" w:eastAsia="es-MX"/>
              </w:rPr>
            </w:pPr>
            <w:r w:rsidRPr="00D7560A">
              <w:rPr>
                <w:rFonts w:ascii="Montserrat" w:eastAsia="Times New Roman" w:hAnsi="Montserrat"/>
                <w:b/>
                <w:bCs/>
                <w:color w:val="FFFFFF"/>
                <w:sz w:val="16"/>
                <w:szCs w:val="16"/>
                <w:lang w:val="es-MX" w:eastAsia="es-MX"/>
              </w:rPr>
              <w:t>Cifras en pesos</w:t>
            </w:r>
          </w:p>
        </w:tc>
      </w:tr>
      <w:tr w:rsidR="00D7560A" w:rsidRPr="00D7560A" w14:paraId="2709819B" w14:textId="77777777" w:rsidTr="00A461CA">
        <w:trPr>
          <w:trHeight w:val="307"/>
          <w:jc w:val="center"/>
        </w:trPr>
        <w:tc>
          <w:tcPr>
            <w:tcW w:w="6016" w:type="dxa"/>
            <w:vMerge/>
            <w:tcBorders>
              <w:top w:val="single" w:sz="12" w:space="0" w:color="808080"/>
              <w:left w:val="single" w:sz="12" w:space="0" w:color="FFFFFF"/>
              <w:bottom w:val="double" w:sz="6" w:space="0" w:color="808080"/>
              <w:right w:val="single" w:sz="12" w:space="0" w:color="FFFFFF"/>
            </w:tcBorders>
            <w:vAlign w:val="center"/>
            <w:hideMark/>
          </w:tcPr>
          <w:p w14:paraId="5BB0C1C3" w14:textId="77777777" w:rsidR="00D7560A" w:rsidRPr="00D7560A" w:rsidRDefault="00D7560A" w:rsidP="00D7560A">
            <w:pPr>
              <w:spacing w:after="0" w:line="240" w:lineRule="auto"/>
              <w:rPr>
                <w:rFonts w:ascii="Montserrat" w:eastAsia="Times New Roman" w:hAnsi="Montserrat"/>
                <w:b/>
                <w:bCs/>
                <w:color w:val="FFFFFF"/>
                <w:sz w:val="16"/>
                <w:szCs w:val="16"/>
                <w:lang w:val="es-MX" w:eastAsia="es-MX"/>
              </w:rPr>
            </w:pPr>
          </w:p>
        </w:tc>
        <w:tc>
          <w:tcPr>
            <w:tcW w:w="2161" w:type="dxa"/>
            <w:tcBorders>
              <w:top w:val="nil"/>
              <w:left w:val="nil"/>
              <w:bottom w:val="double" w:sz="6" w:space="0" w:color="808080"/>
              <w:right w:val="single" w:sz="12" w:space="0" w:color="FFFFFF"/>
            </w:tcBorders>
            <w:shd w:val="clear" w:color="000000" w:fill="D4C19C"/>
            <w:vAlign w:val="center"/>
            <w:hideMark/>
          </w:tcPr>
          <w:p w14:paraId="27063467" w14:textId="77777777" w:rsidR="00D7560A" w:rsidRPr="00D7560A" w:rsidRDefault="00D7560A" w:rsidP="00D7560A">
            <w:pPr>
              <w:spacing w:after="0" w:line="240" w:lineRule="auto"/>
              <w:jc w:val="center"/>
              <w:rPr>
                <w:rFonts w:ascii="Montserrat" w:eastAsia="Times New Roman" w:hAnsi="Montserrat"/>
                <w:b/>
                <w:bCs/>
                <w:color w:val="FFFFFF"/>
                <w:sz w:val="16"/>
                <w:szCs w:val="16"/>
                <w:lang w:val="es-MX" w:eastAsia="es-MX"/>
              </w:rPr>
            </w:pPr>
            <w:r w:rsidRPr="00D7560A">
              <w:rPr>
                <w:rFonts w:ascii="Montserrat" w:eastAsia="Times New Roman" w:hAnsi="Montserrat"/>
                <w:b/>
                <w:bCs/>
                <w:color w:val="FFFFFF"/>
                <w:sz w:val="16"/>
                <w:szCs w:val="16"/>
                <w:lang w:val="es-MX" w:eastAsia="es-MX"/>
              </w:rPr>
              <w:t>2022</w:t>
            </w:r>
          </w:p>
        </w:tc>
        <w:tc>
          <w:tcPr>
            <w:tcW w:w="2138" w:type="dxa"/>
            <w:tcBorders>
              <w:top w:val="nil"/>
              <w:left w:val="nil"/>
              <w:bottom w:val="double" w:sz="6" w:space="0" w:color="808080"/>
              <w:right w:val="single" w:sz="12" w:space="0" w:color="FFFFFF"/>
            </w:tcBorders>
            <w:shd w:val="clear" w:color="000000" w:fill="D4C19C"/>
            <w:vAlign w:val="center"/>
            <w:hideMark/>
          </w:tcPr>
          <w:p w14:paraId="34150FBC" w14:textId="77777777" w:rsidR="00D7560A" w:rsidRPr="00D7560A" w:rsidRDefault="00D7560A" w:rsidP="00D7560A">
            <w:pPr>
              <w:spacing w:after="0" w:line="240" w:lineRule="auto"/>
              <w:jc w:val="center"/>
              <w:rPr>
                <w:rFonts w:ascii="Montserrat" w:eastAsia="Times New Roman" w:hAnsi="Montserrat"/>
                <w:b/>
                <w:bCs/>
                <w:color w:val="FFFFFF"/>
                <w:sz w:val="16"/>
                <w:szCs w:val="16"/>
                <w:lang w:val="es-MX" w:eastAsia="es-MX"/>
              </w:rPr>
            </w:pPr>
            <w:r w:rsidRPr="00D7560A">
              <w:rPr>
                <w:rFonts w:ascii="Montserrat" w:eastAsia="Times New Roman" w:hAnsi="Montserrat"/>
                <w:b/>
                <w:bCs/>
                <w:color w:val="FFFFFF"/>
                <w:sz w:val="16"/>
                <w:szCs w:val="16"/>
                <w:lang w:val="es-MX" w:eastAsia="es-MX"/>
              </w:rPr>
              <w:t>2021</w:t>
            </w:r>
          </w:p>
        </w:tc>
      </w:tr>
      <w:tr w:rsidR="00D7560A" w:rsidRPr="00D7560A" w14:paraId="39AC59F8" w14:textId="77777777" w:rsidTr="00A461CA">
        <w:trPr>
          <w:trHeight w:val="294"/>
          <w:jc w:val="center"/>
        </w:trPr>
        <w:tc>
          <w:tcPr>
            <w:tcW w:w="6016" w:type="dxa"/>
            <w:tcBorders>
              <w:top w:val="nil"/>
              <w:left w:val="nil"/>
              <w:bottom w:val="nil"/>
              <w:right w:val="nil"/>
            </w:tcBorders>
            <w:shd w:val="clear" w:color="000000" w:fill="F2F2F2"/>
            <w:vAlign w:val="center"/>
            <w:hideMark/>
          </w:tcPr>
          <w:p w14:paraId="32BDD6C6" w14:textId="77777777" w:rsidR="00D7560A" w:rsidRPr="00D7560A" w:rsidRDefault="00D7560A" w:rsidP="00D7560A">
            <w:pPr>
              <w:spacing w:after="0" w:line="240" w:lineRule="auto"/>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 xml:space="preserve">Bienes Muebles </w:t>
            </w:r>
            <w:r w:rsidRPr="00D7560A">
              <w:rPr>
                <w:rFonts w:ascii="Montserrat" w:eastAsia="Times New Roman" w:hAnsi="Montserrat"/>
                <w:b/>
                <w:bCs/>
                <w:color w:val="000000"/>
                <w:sz w:val="15"/>
                <w:szCs w:val="15"/>
                <w:lang w:val="es-MX" w:eastAsia="es-MX"/>
              </w:rPr>
              <w:t>(1.10)</w:t>
            </w:r>
          </w:p>
        </w:tc>
        <w:tc>
          <w:tcPr>
            <w:tcW w:w="2161" w:type="dxa"/>
            <w:tcBorders>
              <w:top w:val="nil"/>
              <w:left w:val="nil"/>
              <w:bottom w:val="nil"/>
              <w:right w:val="nil"/>
            </w:tcBorders>
            <w:shd w:val="clear" w:color="000000" w:fill="F2F2F2"/>
            <w:vAlign w:val="center"/>
            <w:hideMark/>
          </w:tcPr>
          <w:p w14:paraId="37E53E00" w14:textId="77777777" w:rsidR="00D7560A" w:rsidRPr="00D7560A" w:rsidRDefault="00D7560A" w:rsidP="00D7560A">
            <w:pPr>
              <w:spacing w:after="0" w:line="240" w:lineRule="auto"/>
              <w:jc w:val="right"/>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-43,332,798,593.</w:t>
            </w:r>
            <w:r w:rsidR="00225C54">
              <w:rPr>
                <w:rFonts w:ascii="Montserrat" w:eastAsia="Times New Roman" w:hAnsi="Montserrat"/>
                <w:color w:val="000000"/>
                <w:sz w:val="15"/>
                <w:szCs w:val="15"/>
                <w:lang w:val="es-MX" w:eastAsia="es-MX"/>
              </w:rPr>
              <w:t>1</w:t>
            </w:r>
          </w:p>
        </w:tc>
        <w:tc>
          <w:tcPr>
            <w:tcW w:w="2138" w:type="dxa"/>
            <w:tcBorders>
              <w:top w:val="nil"/>
              <w:left w:val="nil"/>
              <w:bottom w:val="nil"/>
              <w:right w:val="nil"/>
            </w:tcBorders>
            <w:shd w:val="clear" w:color="000000" w:fill="F2F2F2"/>
            <w:vAlign w:val="center"/>
            <w:hideMark/>
          </w:tcPr>
          <w:p w14:paraId="70885832" w14:textId="77777777" w:rsidR="00D7560A" w:rsidRPr="00D7560A" w:rsidRDefault="00D7560A" w:rsidP="00D7560A">
            <w:pPr>
              <w:spacing w:after="0" w:line="240" w:lineRule="auto"/>
              <w:jc w:val="right"/>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-41,452,450,232.0</w:t>
            </w:r>
          </w:p>
        </w:tc>
      </w:tr>
      <w:tr w:rsidR="00D7560A" w:rsidRPr="00D7560A" w14:paraId="1461EA98" w14:textId="77777777" w:rsidTr="00A461CA">
        <w:trPr>
          <w:trHeight w:val="279"/>
          <w:jc w:val="center"/>
        </w:trPr>
        <w:tc>
          <w:tcPr>
            <w:tcW w:w="6016" w:type="dxa"/>
            <w:tcBorders>
              <w:top w:val="nil"/>
              <w:left w:val="nil"/>
              <w:bottom w:val="nil"/>
              <w:right w:val="nil"/>
            </w:tcBorders>
            <w:shd w:val="clear" w:color="000000" w:fill="F2F2F2"/>
            <w:vAlign w:val="center"/>
            <w:hideMark/>
          </w:tcPr>
          <w:p w14:paraId="240456D6" w14:textId="77777777" w:rsidR="00D7560A" w:rsidRPr="00D7560A" w:rsidRDefault="00D7560A" w:rsidP="00D7560A">
            <w:pPr>
              <w:spacing w:after="0" w:line="240" w:lineRule="auto"/>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 xml:space="preserve">Bienes Inmuebles </w:t>
            </w:r>
            <w:r w:rsidRPr="00D7560A">
              <w:rPr>
                <w:rFonts w:ascii="Montserrat" w:eastAsia="Times New Roman" w:hAnsi="Montserrat"/>
                <w:b/>
                <w:bCs/>
                <w:color w:val="000000"/>
                <w:sz w:val="15"/>
                <w:szCs w:val="15"/>
                <w:lang w:val="es-MX" w:eastAsia="es-MX"/>
              </w:rPr>
              <w:t>(1.9)</w:t>
            </w:r>
          </w:p>
        </w:tc>
        <w:tc>
          <w:tcPr>
            <w:tcW w:w="2161" w:type="dxa"/>
            <w:tcBorders>
              <w:top w:val="nil"/>
              <w:left w:val="nil"/>
              <w:bottom w:val="nil"/>
              <w:right w:val="nil"/>
            </w:tcBorders>
            <w:shd w:val="clear" w:color="000000" w:fill="F2F2F2"/>
            <w:vAlign w:val="center"/>
            <w:hideMark/>
          </w:tcPr>
          <w:p w14:paraId="55841E1E" w14:textId="77777777" w:rsidR="00D7560A" w:rsidRPr="00D7560A" w:rsidRDefault="00D7560A" w:rsidP="00D7560A">
            <w:pPr>
              <w:spacing w:after="0" w:line="240" w:lineRule="auto"/>
              <w:jc w:val="right"/>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-28,428,016,210.8</w:t>
            </w:r>
          </w:p>
        </w:tc>
        <w:tc>
          <w:tcPr>
            <w:tcW w:w="2138" w:type="dxa"/>
            <w:tcBorders>
              <w:top w:val="nil"/>
              <w:left w:val="nil"/>
              <w:bottom w:val="nil"/>
              <w:right w:val="nil"/>
            </w:tcBorders>
            <w:shd w:val="clear" w:color="000000" w:fill="F2F2F2"/>
            <w:vAlign w:val="center"/>
            <w:hideMark/>
          </w:tcPr>
          <w:p w14:paraId="48843E96" w14:textId="77777777" w:rsidR="00D7560A" w:rsidRPr="00D7560A" w:rsidRDefault="00D7560A" w:rsidP="00D7560A">
            <w:pPr>
              <w:spacing w:after="0" w:line="240" w:lineRule="auto"/>
              <w:jc w:val="right"/>
              <w:rPr>
                <w:rFonts w:ascii="Montserrat" w:eastAsia="Times New Roman" w:hAnsi="Montserrat"/>
                <w:color w:val="000000"/>
                <w:sz w:val="15"/>
                <w:szCs w:val="15"/>
                <w:lang w:val="es-MX" w:eastAsia="es-MX"/>
              </w:rPr>
            </w:pPr>
            <w:r w:rsidRPr="00D7560A">
              <w:rPr>
                <w:rFonts w:ascii="Montserrat" w:eastAsia="Times New Roman" w:hAnsi="Montserrat"/>
                <w:color w:val="000000"/>
                <w:sz w:val="15"/>
                <w:szCs w:val="15"/>
                <w:lang w:val="es-MX" w:eastAsia="es-MX"/>
              </w:rPr>
              <w:t>-27,891,951,437.8</w:t>
            </w:r>
          </w:p>
        </w:tc>
      </w:tr>
      <w:tr w:rsidR="00D7560A" w:rsidRPr="00D7560A" w14:paraId="2E86502A" w14:textId="77777777" w:rsidTr="00A461CA">
        <w:trPr>
          <w:trHeight w:val="376"/>
          <w:jc w:val="center"/>
        </w:trPr>
        <w:tc>
          <w:tcPr>
            <w:tcW w:w="6016" w:type="dxa"/>
            <w:tcBorders>
              <w:top w:val="nil"/>
              <w:left w:val="nil"/>
              <w:bottom w:val="single" w:sz="12" w:space="0" w:color="808080"/>
              <w:right w:val="nil"/>
            </w:tcBorders>
            <w:shd w:val="clear" w:color="000000" w:fill="F2F2F2"/>
            <w:vAlign w:val="center"/>
            <w:hideMark/>
          </w:tcPr>
          <w:p w14:paraId="0B71847E" w14:textId="77777777" w:rsidR="00D7560A" w:rsidRPr="00D7560A" w:rsidRDefault="00D7560A" w:rsidP="00D7560A">
            <w:pPr>
              <w:spacing w:after="0" w:line="240" w:lineRule="auto"/>
              <w:rPr>
                <w:rFonts w:ascii="Montserrat" w:eastAsia="Times New Roman" w:hAnsi="Montserrat"/>
                <w:b/>
                <w:bCs/>
                <w:color w:val="000000"/>
                <w:sz w:val="15"/>
                <w:szCs w:val="15"/>
                <w:lang w:val="es-MX" w:eastAsia="es-MX"/>
              </w:rPr>
            </w:pPr>
            <w:r w:rsidRPr="00D7560A">
              <w:rPr>
                <w:rFonts w:ascii="Montserrat" w:eastAsia="Times New Roman" w:hAnsi="Montserrat"/>
                <w:b/>
                <w:bCs/>
                <w:color w:val="000000"/>
                <w:sz w:val="15"/>
                <w:szCs w:val="15"/>
                <w:lang w:val="es-MX" w:eastAsia="es-MX"/>
              </w:rPr>
              <w:t>Total Depreciaciones, Deterioro y Amortización Acumulada de Bienes</w:t>
            </w:r>
          </w:p>
        </w:tc>
        <w:tc>
          <w:tcPr>
            <w:tcW w:w="2161" w:type="dxa"/>
            <w:tcBorders>
              <w:top w:val="nil"/>
              <w:left w:val="nil"/>
              <w:bottom w:val="single" w:sz="12" w:space="0" w:color="808080"/>
              <w:right w:val="nil"/>
            </w:tcBorders>
            <w:shd w:val="clear" w:color="000000" w:fill="F2F2F2"/>
            <w:vAlign w:val="center"/>
            <w:hideMark/>
          </w:tcPr>
          <w:p w14:paraId="1CF47CE3" w14:textId="77777777" w:rsidR="00D7560A" w:rsidRPr="00D7560A" w:rsidRDefault="00D7560A" w:rsidP="00D7560A">
            <w:pPr>
              <w:spacing w:after="0" w:line="240" w:lineRule="auto"/>
              <w:jc w:val="right"/>
              <w:rPr>
                <w:rFonts w:ascii="Montserrat" w:eastAsia="Times New Roman" w:hAnsi="Montserrat"/>
                <w:b/>
                <w:bCs/>
                <w:color w:val="000000"/>
                <w:sz w:val="15"/>
                <w:szCs w:val="15"/>
                <w:lang w:val="es-MX" w:eastAsia="es-MX"/>
              </w:rPr>
            </w:pPr>
            <w:r w:rsidRPr="00D7560A">
              <w:rPr>
                <w:rFonts w:ascii="Montserrat" w:eastAsia="Times New Roman" w:hAnsi="Montserrat"/>
                <w:b/>
                <w:bCs/>
                <w:color w:val="000000"/>
                <w:sz w:val="15"/>
                <w:szCs w:val="15"/>
                <w:lang w:val="es-MX" w:eastAsia="es-MX"/>
              </w:rPr>
              <w:t>-71,760,814,803.</w:t>
            </w:r>
            <w:r w:rsidR="00225C54">
              <w:rPr>
                <w:rFonts w:ascii="Montserrat" w:eastAsia="Times New Roman" w:hAnsi="Montserrat"/>
                <w:b/>
                <w:bCs/>
                <w:color w:val="000000"/>
                <w:sz w:val="15"/>
                <w:szCs w:val="15"/>
                <w:lang w:val="es-MX" w:eastAsia="es-MX"/>
              </w:rPr>
              <w:t>9</w:t>
            </w:r>
          </w:p>
        </w:tc>
        <w:tc>
          <w:tcPr>
            <w:tcW w:w="2138" w:type="dxa"/>
            <w:tcBorders>
              <w:top w:val="nil"/>
              <w:left w:val="nil"/>
              <w:bottom w:val="single" w:sz="12" w:space="0" w:color="808080"/>
              <w:right w:val="nil"/>
            </w:tcBorders>
            <w:shd w:val="clear" w:color="000000" w:fill="F2F2F2"/>
            <w:vAlign w:val="center"/>
            <w:hideMark/>
          </w:tcPr>
          <w:p w14:paraId="6A67E342" w14:textId="77777777" w:rsidR="00D7560A" w:rsidRPr="00D7560A" w:rsidRDefault="00D7560A" w:rsidP="00D7560A">
            <w:pPr>
              <w:spacing w:after="0" w:line="240" w:lineRule="auto"/>
              <w:jc w:val="right"/>
              <w:rPr>
                <w:rFonts w:ascii="Montserrat" w:eastAsia="Times New Roman" w:hAnsi="Montserrat"/>
                <w:b/>
                <w:bCs/>
                <w:color w:val="000000"/>
                <w:sz w:val="15"/>
                <w:szCs w:val="15"/>
                <w:lang w:val="es-MX" w:eastAsia="es-MX"/>
              </w:rPr>
            </w:pPr>
            <w:r w:rsidRPr="00D7560A">
              <w:rPr>
                <w:rFonts w:ascii="Montserrat" w:eastAsia="Times New Roman" w:hAnsi="Montserrat"/>
                <w:b/>
                <w:bCs/>
                <w:color w:val="000000"/>
                <w:sz w:val="15"/>
                <w:szCs w:val="15"/>
                <w:lang w:val="es-MX" w:eastAsia="es-MX"/>
              </w:rPr>
              <w:t>-69,344,401,669.8</w:t>
            </w:r>
          </w:p>
        </w:tc>
      </w:tr>
    </w:tbl>
    <w:p w14:paraId="71BE3864" w14:textId="77777777" w:rsidR="009D5C48" w:rsidRDefault="009D5C48" w:rsidP="009D5C48">
      <w:pPr>
        <w:pStyle w:val="TEXTONORMAL"/>
      </w:pPr>
    </w:p>
    <w:p w14:paraId="29864C11" w14:textId="77777777" w:rsidR="009D5C48" w:rsidRPr="006A5D9B" w:rsidRDefault="009D5C48" w:rsidP="004B1F81">
      <w:pPr>
        <w:pStyle w:val="TEXTONORMAL"/>
        <w:rPr>
          <w:lang w:val="es-MX"/>
        </w:rPr>
      </w:pPr>
      <w:r w:rsidRPr="00924CBD">
        <w:rPr>
          <w:lang w:val="es-MX"/>
        </w:rPr>
        <w:t>La depreciación</w:t>
      </w:r>
      <w:r w:rsidRPr="006A5D9B">
        <w:rPr>
          <w:lang w:val="es-MX"/>
        </w:rPr>
        <w:t xml:space="preserve"> de los inmuebles, mobiliario y equipo se calcula utilizando el mé</w:t>
      </w:r>
      <w:r>
        <w:rPr>
          <w:lang w:val="es-MX"/>
        </w:rPr>
        <w:t>todo de línea recta con base en</w:t>
      </w:r>
      <w:r w:rsidRPr="006A5D9B">
        <w:rPr>
          <w:lang w:val="es-MX"/>
        </w:rPr>
        <w:t xml:space="preserve"> su vida útil estimada, sobre el valor de los activos históricos.</w:t>
      </w:r>
    </w:p>
    <w:p w14:paraId="2020E5D8" w14:textId="77777777" w:rsidR="009D5C48" w:rsidRDefault="009D5C48" w:rsidP="004B1F81">
      <w:pPr>
        <w:pStyle w:val="TEXTONORMAL"/>
      </w:pPr>
      <w:r>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w:t>
      </w:r>
      <w:r w:rsidRPr="00FB415E">
        <w:t xml:space="preserve">Administrativo y aprobada por el H. Consejo Técnico. Posterior a este reconocimiento los valores fueron actualizados hasta el año 2007 con los factores derivados del Índice Nacional de Precios al Consumidor (INPC), </w:t>
      </w:r>
      <w:r w:rsidR="003B74D6" w:rsidRPr="00FB415E">
        <w:t>dado que,</w:t>
      </w:r>
      <w:r w:rsidRPr="00FB415E">
        <w:t xml:space="preserve"> a partir del 01 de enero de 2008, el Instituto dejó de reconocer los efectos de la inflación en sus Estados Financieros por encontrarnos en un entorno económico no inflacionario, de conformidad con la NIFGG SP04 “</w:t>
      </w:r>
      <w:proofErr w:type="spellStart"/>
      <w:r w:rsidRPr="00FB415E">
        <w:t>Reexpresión</w:t>
      </w:r>
      <w:proofErr w:type="spellEnd"/>
      <w:r w:rsidRPr="00FB415E">
        <w:t>” vigente hasta el 2019.</w:t>
      </w:r>
    </w:p>
    <w:p w14:paraId="291E55C1" w14:textId="77777777" w:rsidR="009D5C48" w:rsidRPr="00042DD1" w:rsidRDefault="009D5C48" w:rsidP="004B1F81">
      <w:pPr>
        <w:pStyle w:val="TEXTONORMAL"/>
      </w:pPr>
      <w:r>
        <w:t xml:space="preserve">Según lo indicado en el MCGSP, a partir del ejercicio de 2020 quedó sin efecto la NIFGG SP 04 </w:t>
      </w:r>
      <w:proofErr w:type="spellStart"/>
      <w:r>
        <w:t>Reexpresión</w:t>
      </w:r>
      <w:proofErr w:type="spellEnd"/>
      <w:r>
        <w:t xml:space="preserve">, y el criterio aplicable es el establecido en las Reglas Específicas del Registro y Valoración del Patrimonio aprobadas por el Consejo Nacional de Armonización Contable, donde se indica que en cuanto a los valores históricos de la </w:t>
      </w:r>
      <w:proofErr w:type="spellStart"/>
      <w:r>
        <w:t>reexpresión</w:t>
      </w:r>
      <w:proofErr w:type="spellEnd"/>
      <w:r>
        <w:t xml:space="preserve"> presentados en los Estados Financieros, para los activos que se mantengan en poder de la entidad, permanecerán sin cambio respecto del criterio contable que les dio origen y</w:t>
      </w:r>
      <w:r w:rsidRPr="00042DD1">
        <w:t xml:space="preserve"> atendiendo a la Norma Internacional de C</w:t>
      </w:r>
      <w:r>
        <w:t xml:space="preserve">ontabilidad del Sector Público </w:t>
      </w:r>
      <w:r w:rsidRPr="00042DD1">
        <w:t>NICS 10-Información Financiera en Economías Hiperinflacionarias, se deberá actualizar el patrimonio cuando el Índice Nacional de</w:t>
      </w:r>
      <w:r>
        <w:t xml:space="preserve"> Precios al Consumidor acumulado</w:t>
      </w:r>
      <w:r w:rsidRPr="00042DD1">
        <w:t xml:space="preserve"> durante un periodo de tres años sea igual o superior al 100%.</w:t>
      </w:r>
    </w:p>
    <w:p w14:paraId="0BCC8F21" w14:textId="77777777" w:rsidR="004D2496" w:rsidRDefault="009D5C48" w:rsidP="009D5C48">
      <w:pPr>
        <w:pStyle w:val="TEXTONORMAL"/>
      </w:pPr>
      <w:r w:rsidRPr="00042DD1">
        <w:rPr>
          <w:lang w:val="es-MX"/>
        </w:rPr>
        <w:t>Par</w:t>
      </w:r>
      <w:r w:rsidRPr="002D4FF3">
        <w:t>a los bienes actualizados por costos específicos en julio de 1997 se ha</w:t>
      </w:r>
      <w:r>
        <w:t>n</w:t>
      </w:r>
      <w:r w:rsidRPr="002D4FF3">
        <w:t xml:space="preserve"> venido aplicando la</w:t>
      </w:r>
      <w:r>
        <w:t>s</w:t>
      </w:r>
      <w:r w:rsidRPr="002D4FF3">
        <w:t xml:space="preserve"> tasa</w:t>
      </w:r>
      <w:r>
        <w:t>s</w:t>
      </w:r>
      <w:r w:rsidRPr="002D4FF3">
        <w:t xml:space="preserve"> </w:t>
      </w:r>
      <w:proofErr w:type="spellStart"/>
      <w:r>
        <w:rPr>
          <w:lang w:val="es-MX"/>
        </w:rPr>
        <w:t>vig</w:t>
      </w:r>
      <w:proofErr w:type="spellEnd"/>
      <w:r w:rsidRPr="002D4FF3">
        <w:t>ente</w:t>
      </w:r>
      <w:r>
        <w:t>s</w:t>
      </w:r>
      <w:r w:rsidRPr="002D4FF3">
        <w:t xml:space="preserve"> considerada</w:t>
      </w:r>
      <w:r>
        <w:t>s</w:t>
      </w:r>
      <w:r w:rsidRPr="002D4FF3">
        <w:t xml:space="preserve"> en la política de depreciación, dentro de las que </w:t>
      </w:r>
      <w:r>
        <w:t>resalta la tasa del 1.5</w:t>
      </w:r>
      <w:r w:rsidRPr="002D4FF3">
        <w:t xml:space="preserve">% anual </w:t>
      </w:r>
      <w:r>
        <w:t>aplicada a</w:t>
      </w:r>
      <w:r w:rsidRPr="002D4FF3">
        <w:t xml:space="preserve"> los bienes</w:t>
      </w:r>
      <w:r>
        <w:t xml:space="preserve"> inmuebles, esta tasa de depreciación es aplicada hasta alcanzar el 75% del valor del inmueble.</w:t>
      </w:r>
    </w:p>
    <w:p w14:paraId="419B9970" w14:textId="77777777" w:rsidR="000D6592" w:rsidRDefault="000D6592" w:rsidP="009D5C48">
      <w:pPr>
        <w:pStyle w:val="TEXTONORMAL"/>
      </w:pPr>
    </w:p>
    <w:p w14:paraId="095A3D3A" w14:textId="77777777" w:rsidR="00E841B9" w:rsidRDefault="00E841B9" w:rsidP="009D5C48">
      <w:pPr>
        <w:pStyle w:val="TEXTONORMAL"/>
      </w:pPr>
    </w:p>
    <w:p w14:paraId="65EB7DE2" w14:textId="77777777" w:rsidR="00A461CA" w:rsidRDefault="00A461CA" w:rsidP="009D5C48">
      <w:pPr>
        <w:pStyle w:val="TEXTONORMAL"/>
      </w:pPr>
    </w:p>
    <w:p w14:paraId="16494090" w14:textId="77777777" w:rsidR="00D25C8B" w:rsidRPr="00854DC7" w:rsidRDefault="009D5C48" w:rsidP="00D25C8B">
      <w:pPr>
        <w:pStyle w:val="SUBTITULO2"/>
        <w:numPr>
          <w:ilvl w:val="0"/>
          <w:numId w:val="7"/>
        </w:numPr>
        <w:ind w:left="0" w:firstLine="0"/>
      </w:pPr>
      <w:r w:rsidRPr="004B1F81">
        <w:lastRenderedPageBreak/>
        <w:t>pasivo</w:t>
      </w:r>
    </w:p>
    <w:p w14:paraId="133E98A6" w14:textId="77777777" w:rsidR="009D5C48" w:rsidRDefault="009D5C48" w:rsidP="0073482B">
      <w:pPr>
        <w:pStyle w:val="SUBTITULO2"/>
      </w:pPr>
      <w:r>
        <w:t>pasivo circulante</w:t>
      </w:r>
    </w:p>
    <w:p w14:paraId="6372E4F4" w14:textId="77777777" w:rsidR="009D5C48" w:rsidRPr="00245753" w:rsidRDefault="009D5C48" w:rsidP="009D5C48">
      <w:pPr>
        <w:pStyle w:val="TEXTONORMAL"/>
        <w:rPr>
          <w:lang w:val="es-MX"/>
        </w:rPr>
      </w:pPr>
    </w:p>
    <w:p w14:paraId="49C65DE0" w14:textId="77777777" w:rsidR="009D5C48" w:rsidRPr="00462689" w:rsidRDefault="00CF7816" w:rsidP="003F2A12">
      <w:pPr>
        <w:pStyle w:val="VIETAFLECHA"/>
        <w:numPr>
          <w:ilvl w:val="1"/>
          <w:numId w:val="32"/>
        </w:numPr>
        <w:ind w:left="357" w:hanging="357"/>
      </w:pPr>
      <w:r w:rsidRPr="008142BE">
        <w:rPr>
          <w:b/>
        </w:rPr>
        <w:t>2.1</w:t>
      </w:r>
      <w:r>
        <w:t xml:space="preserve"> </w:t>
      </w:r>
      <w:r w:rsidR="009D5C48" w:rsidRPr="00462689">
        <w:t>Cuentas por Pagar a Corto Plazo</w:t>
      </w:r>
    </w:p>
    <w:p w14:paraId="5A0C302B" w14:textId="77777777" w:rsidR="009D5C48" w:rsidRDefault="005E1E08" w:rsidP="004B1F81">
      <w:pPr>
        <w:pStyle w:val="TEXTONORMAL"/>
      </w:pPr>
      <w:r>
        <w:t>Al 30 de septiembre</w:t>
      </w:r>
      <w:r w:rsidR="000C68DF">
        <w:t xml:space="preserve"> de 2022</w:t>
      </w:r>
      <w:r w:rsidR="000C68DF" w:rsidRPr="000B2CE4">
        <w:t xml:space="preserve"> y</w:t>
      </w:r>
      <w:r w:rsidR="000C68DF">
        <w:t xml:space="preserve"> al</w:t>
      </w:r>
      <w:r w:rsidR="000C68DF" w:rsidRPr="000B2CE4">
        <w:t xml:space="preserve"> </w:t>
      </w:r>
      <w:r w:rsidR="000C68DF">
        <w:t>31 de diciembre de 2021</w:t>
      </w:r>
      <w:r w:rsidR="009D5C48" w:rsidRPr="00FE23B3">
        <w:t>, las Cuentas por Pagar a Corto Plazo se integran de la siguiente manera:</w:t>
      </w:r>
    </w:p>
    <w:p w14:paraId="20A0BAA3" w14:textId="77777777" w:rsidR="0044011D" w:rsidRDefault="0044011D" w:rsidP="004B1F81">
      <w:pPr>
        <w:pStyle w:val="TEXTONORMAL"/>
      </w:pPr>
    </w:p>
    <w:tbl>
      <w:tblPr>
        <w:tblW w:w="10285" w:type="dxa"/>
        <w:jc w:val="center"/>
        <w:tblCellMar>
          <w:left w:w="70" w:type="dxa"/>
          <w:right w:w="70" w:type="dxa"/>
        </w:tblCellMar>
        <w:tblLook w:val="04A0" w:firstRow="1" w:lastRow="0" w:firstColumn="1" w:lastColumn="0" w:noHBand="0" w:noVBand="1"/>
      </w:tblPr>
      <w:tblGrid>
        <w:gridCol w:w="6459"/>
        <w:gridCol w:w="1913"/>
        <w:gridCol w:w="1913"/>
      </w:tblGrid>
      <w:tr w:rsidR="00972BC5" w:rsidRPr="00972BC5" w14:paraId="71BFA2AC" w14:textId="77777777" w:rsidTr="00972BC5">
        <w:trPr>
          <w:trHeight w:val="294"/>
          <w:jc w:val="center"/>
        </w:trPr>
        <w:tc>
          <w:tcPr>
            <w:tcW w:w="645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124D0F6" w14:textId="77777777" w:rsidR="00972BC5" w:rsidRPr="00972BC5" w:rsidRDefault="00972BC5" w:rsidP="00972BC5">
            <w:pPr>
              <w:spacing w:after="0" w:line="240" w:lineRule="auto"/>
              <w:jc w:val="center"/>
              <w:rPr>
                <w:rFonts w:ascii="Montserrat" w:eastAsia="Times New Roman" w:hAnsi="Montserrat"/>
                <w:b/>
                <w:bCs/>
                <w:color w:val="FFFFFF"/>
                <w:sz w:val="16"/>
                <w:szCs w:val="16"/>
                <w:lang w:val="es-MX" w:eastAsia="es-MX"/>
              </w:rPr>
            </w:pPr>
            <w:r w:rsidRPr="00972BC5">
              <w:rPr>
                <w:rFonts w:ascii="Montserrat" w:eastAsia="Times New Roman" w:hAnsi="Montserrat"/>
                <w:b/>
                <w:bCs/>
                <w:color w:val="FFFFFF"/>
                <w:sz w:val="16"/>
                <w:szCs w:val="16"/>
                <w:lang w:val="es-MX" w:eastAsia="es-MX"/>
              </w:rPr>
              <w:t>Concepto</w:t>
            </w:r>
          </w:p>
        </w:tc>
        <w:tc>
          <w:tcPr>
            <w:tcW w:w="382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C714DBA" w14:textId="77777777" w:rsidR="00972BC5" w:rsidRPr="00972BC5" w:rsidRDefault="00972BC5" w:rsidP="00972BC5">
            <w:pPr>
              <w:spacing w:after="0" w:line="240" w:lineRule="auto"/>
              <w:jc w:val="center"/>
              <w:rPr>
                <w:rFonts w:ascii="Montserrat" w:eastAsia="Times New Roman" w:hAnsi="Montserrat"/>
                <w:b/>
                <w:bCs/>
                <w:color w:val="FFFFFF"/>
                <w:sz w:val="16"/>
                <w:szCs w:val="16"/>
                <w:lang w:val="es-MX" w:eastAsia="es-MX"/>
              </w:rPr>
            </w:pPr>
            <w:r w:rsidRPr="00972BC5">
              <w:rPr>
                <w:rFonts w:ascii="Montserrat" w:eastAsia="Times New Roman" w:hAnsi="Montserrat"/>
                <w:b/>
                <w:bCs/>
                <w:color w:val="FFFFFF"/>
                <w:sz w:val="16"/>
                <w:szCs w:val="16"/>
                <w:lang w:val="es-MX" w:eastAsia="es-MX"/>
              </w:rPr>
              <w:t>Cifras en pesos</w:t>
            </w:r>
          </w:p>
        </w:tc>
      </w:tr>
      <w:tr w:rsidR="00972BC5" w:rsidRPr="00972BC5" w14:paraId="084C89EF" w14:textId="77777777" w:rsidTr="00972BC5">
        <w:trPr>
          <w:trHeight w:val="294"/>
          <w:jc w:val="center"/>
        </w:trPr>
        <w:tc>
          <w:tcPr>
            <w:tcW w:w="6459" w:type="dxa"/>
            <w:vMerge/>
            <w:tcBorders>
              <w:top w:val="single" w:sz="12" w:space="0" w:color="808080"/>
              <w:left w:val="single" w:sz="12" w:space="0" w:color="FFFFFF"/>
              <w:bottom w:val="double" w:sz="6" w:space="0" w:color="808080"/>
              <w:right w:val="single" w:sz="12" w:space="0" w:color="FFFFFF"/>
            </w:tcBorders>
            <w:vAlign w:val="center"/>
            <w:hideMark/>
          </w:tcPr>
          <w:p w14:paraId="5FD092F9" w14:textId="77777777" w:rsidR="00972BC5" w:rsidRPr="00972BC5" w:rsidRDefault="00972BC5" w:rsidP="00972BC5">
            <w:pPr>
              <w:spacing w:after="0" w:line="240" w:lineRule="auto"/>
              <w:rPr>
                <w:rFonts w:ascii="Montserrat" w:eastAsia="Times New Roman" w:hAnsi="Montserrat"/>
                <w:b/>
                <w:bCs/>
                <w:color w:val="FFFFFF"/>
                <w:sz w:val="16"/>
                <w:szCs w:val="16"/>
                <w:lang w:val="es-MX" w:eastAsia="es-MX"/>
              </w:rPr>
            </w:pPr>
          </w:p>
        </w:tc>
        <w:tc>
          <w:tcPr>
            <w:tcW w:w="1913" w:type="dxa"/>
            <w:tcBorders>
              <w:top w:val="nil"/>
              <w:left w:val="nil"/>
              <w:bottom w:val="double" w:sz="6" w:space="0" w:color="808080"/>
              <w:right w:val="single" w:sz="12" w:space="0" w:color="FFFFFF"/>
            </w:tcBorders>
            <w:shd w:val="clear" w:color="000000" w:fill="D4C19C"/>
            <w:vAlign w:val="center"/>
            <w:hideMark/>
          </w:tcPr>
          <w:p w14:paraId="5FA34946" w14:textId="77777777" w:rsidR="00972BC5" w:rsidRPr="00972BC5" w:rsidRDefault="00972BC5" w:rsidP="00972BC5">
            <w:pPr>
              <w:spacing w:after="0" w:line="240" w:lineRule="auto"/>
              <w:jc w:val="center"/>
              <w:rPr>
                <w:rFonts w:ascii="Montserrat" w:eastAsia="Times New Roman" w:hAnsi="Montserrat"/>
                <w:b/>
                <w:bCs/>
                <w:color w:val="FFFFFF"/>
                <w:sz w:val="16"/>
                <w:szCs w:val="16"/>
                <w:lang w:val="es-MX" w:eastAsia="es-MX"/>
              </w:rPr>
            </w:pPr>
            <w:r w:rsidRPr="00972BC5">
              <w:rPr>
                <w:rFonts w:ascii="Montserrat" w:eastAsia="Times New Roman" w:hAnsi="Montserrat"/>
                <w:b/>
                <w:bCs/>
                <w:color w:val="FFFFFF"/>
                <w:sz w:val="16"/>
                <w:szCs w:val="16"/>
                <w:lang w:val="es-MX" w:eastAsia="es-MX"/>
              </w:rPr>
              <w:t>2022</w:t>
            </w:r>
          </w:p>
        </w:tc>
        <w:tc>
          <w:tcPr>
            <w:tcW w:w="1913" w:type="dxa"/>
            <w:tcBorders>
              <w:top w:val="nil"/>
              <w:left w:val="nil"/>
              <w:bottom w:val="double" w:sz="6" w:space="0" w:color="808080"/>
              <w:right w:val="single" w:sz="12" w:space="0" w:color="FFFFFF"/>
            </w:tcBorders>
            <w:shd w:val="clear" w:color="000000" w:fill="D4C19C"/>
            <w:vAlign w:val="center"/>
            <w:hideMark/>
          </w:tcPr>
          <w:p w14:paraId="163EF513" w14:textId="77777777" w:rsidR="00972BC5" w:rsidRPr="00972BC5" w:rsidRDefault="00972BC5" w:rsidP="00972BC5">
            <w:pPr>
              <w:spacing w:after="0" w:line="240" w:lineRule="auto"/>
              <w:jc w:val="center"/>
              <w:rPr>
                <w:rFonts w:ascii="Montserrat" w:eastAsia="Times New Roman" w:hAnsi="Montserrat"/>
                <w:b/>
                <w:bCs/>
                <w:color w:val="FFFFFF"/>
                <w:sz w:val="16"/>
                <w:szCs w:val="16"/>
                <w:lang w:val="es-MX" w:eastAsia="es-MX"/>
              </w:rPr>
            </w:pPr>
            <w:r w:rsidRPr="00972BC5">
              <w:rPr>
                <w:rFonts w:ascii="Montserrat" w:eastAsia="Times New Roman" w:hAnsi="Montserrat"/>
                <w:b/>
                <w:bCs/>
                <w:color w:val="FFFFFF"/>
                <w:sz w:val="16"/>
                <w:szCs w:val="16"/>
                <w:lang w:val="es-MX" w:eastAsia="es-MX"/>
              </w:rPr>
              <w:t>2021</w:t>
            </w:r>
          </w:p>
        </w:tc>
      </w:tr>
      <w:tr w:rsidR="00972BC5" w:rsidRPr="00972BC5" w14:paraId="7771EEDC" w14:textId="77777777" w:rsidTr="00972BC5">
        <w:trPr>
          <w:trHeight w:val="281"/>
          <w:jc w:val="center"/>
        </w:trPr>
        <w:tc>
          <w:tcPr>
            <w:tcW w:w="6459" w:type="dxa"/>
            <w:tcBorders>
              <w:top w:val="nil"/>
              <w:left w:val="nil"/>
              <w:bottom w:val="nil"/>
              <w:right w:val="nil"/>
            </w:tcBorders>
            <w:shd w:val="clear" w:color="000000" w:fill="F2F2F2"/>
            <w:vAlign w:val="center"/>
            <w:hideMark/>
          </w:tcPr>
          <w:p w14:paraId="7B5459DB"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 xml:space="preserve">Proveedores </w:t>
            </w:r>
            <w:r w:rsidRPr="00972BC5">
              <w:rPr>
                <w:rFonts w:ascii="Montserrat" w:eastAsia="Times New Roman" w:hAnsi="Montserrat"/>
                <w:b/>
                <w:bCs/>
                <w:color w:val="000000"/>
                <w:sz w:val="15"/>
                <w:szCs w:val="15"/>
                <w:lang w:val="es-MX" w:eastAsia="es-MX"/>
              </w:rPr>
              <w:t>(2.1.a)</w:t>
            </w:r>
          </w:p>
        </w:tc>
        <w:tc>
          <w:tcPr>
            <w:tcW w:w="1913" w:type="dxa"/>
            <w:tcBorders>
              <w:top w:val="nil"/>
              <w:left w:val="nil"/>
              <w:bottom w:val="nil"/>
              <w:right w:val="nil"/>
            </w:tcBorders>
            <w:shd w:val="clear" w:color="000000" w:fill="F2F2F2"/>
            <w:vAlign w:val="center"/>
            <w:hideMark/>
          </w:tcPr>
          <w:p w14:paraId="6E082410"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12,600,874,840.9</w:t>
            </w:r>
          </w:p>
        </w:tc>
        <w:tc>
          <w:tcPr>
            <w:tcW w:w="1913" w:type="dxa"/>
            <w:tcBorders>
              <w:top w:val="nil"/>
              <w:left w:val="nil"/>
              <w:bottom w:val="nil"/>
              <w:right w:val="nil"/>
            </w:tcBorders>
            <w:shd w:val="clear" w:color="000000" w:fill="F2F2F2"/>
            <w:vAlign w:val="center"/>
            <w:hideMark/>
          </w:tcPr>
          <w:p w14:paraId="495C5D3E"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21,486,196,698.3</w:t>
            </w:r>
          </w:p>
        </w:tc>
      </w:tr>
      <w:tr w:rsidR="00972BC5" w:rsidRPr="00972BC5" w14:paraId="6E1529C8" w14:textId="77777777" w:rsidTr="00972BC5">
        <w:trPr>
          <w:trHeight w:val="268"/>
          <w:jc w:val="center"/>
        </w:trPr>
        <w:tc>
          <w:tcPr>
            <w:tcW w:w="6459" w:type="dxa"/>
            <w:tcBorders>
              <w:top w:val="nil"/>
              <w:left w:val="nil"/>
              <w:bottom w:val="nil"/>
              <w:right w:val="nil"/>
            </w:tcBorders>
            <w:shd w:val="clear" w:color="000000" w:fill="F2F2F2"/>
            <w:vAlign w:val="center"/>
            <w:hideMark/>
          </w:tcPr>
          <w:p w14:paraId="68E557DE"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 xml:space="preserve">Retenciones y Contribuciones </w:t>
            </w:r>
            <w:r w:rsidRPr="00972BC5">
              <w:rPr>
                <w:rFonts w:ascii="Montserrat" w:eastAsia="Times New Roman" w:hAnsi="Montserrat"/>
                <w:b/>
                <w:bCs/>
                <w:color w:val="000000"/>
                <w:sz w:val="15"/>
                <w:szCs w:val="15"/>
                <w:lang w:val="es-MX" w:eastAsia="es-MX"/>
              </w:rPr>
              <w:t>(2.1.b)</w:t>
            </w:r>
          </w:p>
        </w:tc>
        <w:tc>
          <w:tcPr>
            <w:tcW w:w="1913" w:type="dxa"/>
            <w:tcBorders>
              <w:top w:val="nil"/>
              <w:left w:val="nil"/>
              <w:bottom w:val="nil"/>
              <w:right w:val="nil"/>
            </w:tcBorders>
            <w:shd w:val="clear" w:color="000000" w:fill="F2F2F2"/>
            <w:vAlign w:val="center"/>
            <w:hideMark/>
          </w:tcPr>
          <w:p w14:paraId="4168D9DB"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6,870,251,535.5</w:t>
            </w:r>
          </w:p>
        </w:tc>
        <w:tc>
          <w:tcPr>
            <w:tcW w:w="1913" w:type="dxa"/>
            <w:tcBorders>
              <w:top w:val="nil"/>
              <w:left w:val="nil"/>
              <w:bottom w:val="nil"/>
              <w:right w:val="nil"/>
            </w:tcBorders>
            <w:shd w:val="clear" w:color="000000" w:fill="F2F2F2"/>
            <w:vAlign w:val="center"/>
            <w:hideMark/>
          </w:tcPr>
          <w:p w14:paraId="6E7A8A36"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11,877,616,258.2</w:t>
            </w:r>
          </w:p>
        </w:tc>
      </w:tr>
      <w:tr w:rsidR="00972BC5" w:rsidRPr="00972BC5" w14:paraId="444AB246" w14:textId="77777777" w:rsidTr="00972BC5">
        <w:trPr>
          <w:trHeight w:val="268"/>
          <w:jc w:val="center"/>
        </w:trPr>
        <w:tc>
          <w:tcPr>
            <w:tcW w:w="6459" w:type="dxa"/>
            <w:tcBorders>
              <w:top w:val="nil"/>
              <w:left w:val="nil"/>
              <w:bottom w:val="nil"/>
              <w:right w:val="nil"/>
            </w:tcBorders>
            <w:shd w:val="clear" w:color="000000" w:fill="F2F2F2"/>
            <w:vAlign w:val="center"/>
            <w:hideMark/>
          </w:tcPr>
          <w:p w14:paraId="3CF0DAB6"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 xml:space="preserve">Servicios Personales </w:t>
            </w:r>
            <w:r w:rsidRPr="00972BC5">
              <w:rPr>
                <w:rFonts w:ascii="Montserrat" w:eastAsia="Times New Roman" w:hAnsi="Montserrat"/>
                <w:b/>
                <w:bCs/>
                <w:color w:val="000000"/>
                <w:sz w:val="15"/>
                <w:szCs w:val="15"/>
                <w:lang w:val="es-MX" w:eastAsia="es-MX"/>
              </w:rPr>
              <w:t>(2.1.d)</w:t>
            </w:r>
          </w:p>
        </w:tc>
        <w:tc>
          <w:tcPr>
            <w:tcW w:w="1913" w:type="dxa"/>
            <w:tcBorders>
              <w:top w:val="nil"/>
              <w:left w:val="nil"/>
              <w:bottom w:val="nil"/>
              <w:right w:val="nil"/>
            </w:tcBorders>
            <w:shd w:val="clear" w:color="000000" w:fill="F2F2F2"/>
            <w:vAlign w:val="center"/>
            <w:hideMark/>
          </w:tcPr>
          <w:p w14:paraId="7F035819"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1,356,181,282.5</w:t>
            </w:r>
          </w:p>
        </w:tc>
        <w:tc>
          <w:tcPr>
            <w:tcW w:w="1913" w:type="dxa"/>
            <w:tcBorders>
              <w:top w:val="nil"/>
              <w:left w:val="nil"/>
              <w:bottom w:val="nil"/>
              <w:right w:val="nil"/>
            </w:tcBorders>
            <w:shd w:val="clear" w:color="000000" w:fill="F2F2F2"/>
            <w:vAlign w:val="center"/>
            <w:hideMark/>
          </w:tcPr>
          <w:p w14:paraId="3E57AB12"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1,538,285,908.0</w:t>
            </w:r>
          </w:p>
        </w:tc>
      </w:tr>
      <w:tr w:rsidR="00972BC5" w:rsidRPr="00972BC5" w14:paraId="02ABB161" w14:textId="77777777" w:rsidTr="00972BC5">
        <w:trPr>
          <w:trHeight w:val="268"/>
          <w:jc w:val="center"/>
        </w:trPr>
        <w:tc>
          <w:tcPr>
            <w:tcW w:w="6459" w:type="dxa"/>
            <w:tcBorders>
              <w:top w:val="nil"/>
              <w:left w:val="nil"/>
              <w:bottom w:val="nil"/>
              <w:right w:val="nil"/>
            </w:tcBorders>
            <w:shd w:val="clear" w:color="000000" w:fill="F2F2F2"/>
            <w:vAlign w:val="center"/>
            <w:hideMark/>
          </w:tcPr>
          <w:p w14:paraId="00A5EE04"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 xml:space="preserve">Otras Cuentas por Pagar </w:t>
            </w:r>
            <w:r w:rsidRPr="00972BC5">
              <w:rPr>
                <w:rFonts w:ascii="Montserrat" w:eastAsia="Times New Roman" w:hAnsi="Montserrat"/>
                <w:b/>
                <w:bCs/>
                <w:color w:val="000000"/>
                <w:sz w:val="15"/>
                <w:szCs w:val="15"/>
                <w:lang w:val="es-MX" w:eastAsia="es-MX"/>
              </w:rPr>
              <w:t>(2.1.c)</w:t>
            </w:r>
          </w:p>
        </w:tc>
        <w:tc>
          <w:tcPr>
            <w:tcW w:w="1913" w:type="dxa"/>
            <w:tcBorders>
              <w:top w:val="nil"/>
              <w:left w:val="nil"/>
              <w:bottom w:val="nil"/>
              <w:right w:val="nil"/>
            </w:tcBorders>
            <w:shd w:val="clear" w:color="000000" w:fill="F2F2F2"/>
            <w:vAlign w:val="center"/>
            <w:hideMark/>
          </w:tcPr>
          <w:p w14:paraId="78A8C6F9"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20,337,452.1</w:t>
            </w:r>
          </w:p>
        </w:tc>
        <w:tc>
          <w:tcPr>
            <w:tcW w:w="1913" w:type="dxa"/>
            <w:tcBorders>
              <w:top w:val="nil"/>
              <w:left w:val="nil"/>
              <w:bottom w:val="nil"/>
              <w:right w:val="nil"/>
            </w:tcBorders>
            <w:shd w:val="clear" w:color="000000" w:fill="F2F2F2"/>
            <w:vAlign w:val="center"/>
            <w:hideMark/>
          </w:tcPr>
          <w:p w14:paraId="7DE62F26"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1,560,224,230.7</w:t>
            </w:r>
          </w:p>
        </w:tc>
      </w:tr>
      <w:tr w:rsidR="00972BC5" w:rsidRPr="00972BC5" w14:paraId="7A365126" w14:textId="77777777" w:rsidTr="00972BC5">
        <w:trPr>
          <w:trHeight w:val="268"/>
          <w:jc w:val="center"/>
        </w:trPr>
        <w:tc>
          <w:tcPr>
            <w:tcW w:w="6459" w:type="dxa"/>
            <w:tcBorders>
              <w:top w:val="nil"/>
              <w:left w:val="nil"/>
              <w:bottom w:val="nil"/>
              <w:right w:val="nil"/>
            </w:tcBorders>
            <w:shd w:val="clear" w:color="000000" w:fill="F2F2F2"/>
            <w:vAlign w:val="center"/>
            <w:hideMark/>
          </w:tcPr>
          <w:p w14:paraId="0FC0915C"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 xml:space="preserve">Transferencias Otorgadas </w:t>
            </w:r>
            <w:r w:rsidRPr="00972BC5">
              <w:rPr>
                <w:rFonts w:ascii="Montserrat" w:eastAsia="Times New Roman" w:hAnsi="Montserrat"/>
                <w:b/>
                <w:bCs/>
                <w:color w:val="000000"/>
                <w:sz w:val="15"/>
                <w:szCs w:val="15"/>
                <w:lang w:val="es-MX" w:eastAsia="es-MX"/>
              </w:rPr>
              <w:t>(2.1.e)</w:t>
            </w:r>
          </w:p>
        </w:tc>
        <w:tc>
          <w:tcPr>
            <w:tcW w:w="1913" w:type="dxa"/>
            <w:tcBorders>
              <w:top w:val="nil"/>
              <w:left w:val="nil"/>
              <w:bottom w:val="nil"/>
              <w:right w:val="nil"/>
            </w:tcBorders>
            <w:shd w:val="clear" w:color="000000" w:fill="F2F2F2"/>
            <w:vAlign w:val="center"/>
            <w:hideMark/>
          </w:tcPr>
          <w:p w14:paraId="699535F6"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120,413,441.5</w:t>
            </w:r>
          </w:p>
        </w:tc>
        <w:tc>
          <w:tcPr>
            <w:tcW w:w="1913" w:type="dxa"/>
            <w:tcBorders>
              <w:top w:val="nil"/>
              <w:left w:val="nil"/>
              <w:bottom w:val="nil"/>
              <w:right w:val="nil"/>
            </w:tcBorders>
            <w:shd w:val="clear" w:color="000000" w:fill="F2F2F2"/>
            <w:vAlign w:val="center"/>
            <w:hideMark/>
          </w:tcPr>
          <w:p w14:paraId="1C441069"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39,047,509.0</w:t>
            </w:r>
          </w:p>
        </w:tc>
      </w:tr>
      <w:tr w:rsidR="00972BC5" w:rsidRPr="00972BC5" w14:paraId="749C14D9" w14:textId="77777777" w:rsidTr="00972BC5">
        <w:trPr>
          <w:trHeight w:val="268"/>
          <w:jc w:val="center"/>
        </w:trPr>
        <w:tc>
          <w:tcPr>
            <w:tcW w:w="6459" w:type="dxa"/>
            <w:tcBorders>
              <w:top w:val="nil"/>
              <w:left w:val="nil"/>
              <w:bottom w:val="nil"/>
              <w:right w:val="nil"/>
            </w:tcBorders>
            <w:shd w:val="clear" w:color="000000" w:fill="F2F2F2"/>
            <w:vAlign w:val="center"/>
            <w:hideMark/>
          </w:tcPr>
          <w:p w14:paraId="10D42A2D" w14:textId="77777777" w:rsidR="00972BC5" w:rsidRPr="00972BC5" w:rsidRDefault="00972BC5" w:rsidP="00972BC5">
            <w:pPr>
              <w:spacing w:after="0" w:line="240" w:lineRule="auto"/>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Contratistas por Obras Públicas</w:t>
            </w:r>
          </w:p>
        </w:tc>
        <w:tc>
          <w:tcPr>
            <w:tcW w:w="1913" w:type="dxa"/>
            <w:tcBorders>
              <w:top w:val="nil"/>
              <w:left w:val="nil"/>
              <w:bottom w:val="nil"/>
              <w:right w:val="nil"/>
            </w:tcBorders>
            <w:shd w:val="clear" w:color="000000" w:fill="F2F2F2"/>
            <w:vAlign w:val="center"/>
            <w:hideMark/>
          </w:tcPr>
          <w:p w14:paraId="3662AE21" w14:textId="77777777" w:rsidR="00972BC5" w:rsidRPr="00972BC5" w:rsidRDefault="00972BC5" w:rsidP="006B29AE">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133,770,586.</w:t>
            </w:r>
            <w:r w:rsidR="006B29AE">
              <w:rPr>
                <w:rFonts w:ascii="Montserrat" w:eastAsia="Times New Roman" w:hAnsi="Montserrat"/>
                <w:color w:val="000000"/>
                <w:sz w:val="15"/>
                <w:szCs w:val="15"/>
                <w:lang w:val="es-MX" w:eastAsia="es-MX"/>
              </w:rPr>
              <w:t>7</w:t>
            </w:r>
          </w:p>
        </w:tc>
        <w:tc>
          <w:tcPr>
            <w:tcW w:w="1913" w:type="dxa"/>
            <w:tcBorders>
              <w:top w:val="nil"/>
              <w:left w:val="nil"/>
              <w:bottom w:val="nil"/>
              <w:right w:val="nil"/>
            </w:tcBorders>
            <w:shd w:val="clear" w:color="000000" w:fill="F2F2F2"/>
            <w:vAlign w:val="center"/>
            <w:hideMark/>
          </w:tcPr>
          <w:p w14:paraId="02BF0128" w14:textId="77777777" w:rsidR="00972BC5" w:rsidRPr="00972BC5" w:rsidRDefault="00972BC5" w:rsidP="00972BC5">
            <w:pPr>
              <w:spacing w:after="0" w:line="240" w:lineRule="auto"/>
              <w:jc w:val="right"/>
              <w:rPr>
                <w:rFonts w:ascii="Montserrat" w:eastAsia="Times New Roman" w:hAnsi="Montserrat"/>
                <w:color w:val="000000"/>
                <w:sz w:val="15"/>
                <w:szCs w:val="15"/>
                <w:lang w:val="es-MX" w:eastAsia="es-MX"/>
              </w:rPr>
            </w:pPr>
            <w:r w:rsidRPr="00972BC5">
              <w:rPr>
                <w:rFonts w:ascii="Montserrat" w:eastAsia="Times New Roman" w:hAnsi="Montserrat"/>
                <w:color w:val="000000"/>
                <w:sz w:val="15"/>
                <w:szCs w:val="15"/>
                <w:lang w:val="es-MX" w:eastAsia="es-MX"/>
              </w:rPr>
              <w:t>5,463,978.1</w:t>
            </w:r>
          </w:p>
        </w:tc>
      </w:tr>
      <w:tr w:rsidR="00972BC5" w:rsidRPr="00972BC5" w14:paraId="60BF6296" w14:textId="77777777" w:rsidTr="00972BC5">
        <w:trPr>
          <w:trHeight w:val="281"/>
          <w:jc w:val="center"/>
        </w:trPr>
        <w:tc>
          <w:tcPr>
            <w:tcW w:w="6459" w:type="dxa"/>
            <w:tcBorders>
              <w:top w:val="nil"/>
              <w:left w:val="nil"/>
              <w:bottom w:val="single" w:sz="12" w:space="0" w:color="808080"/>
              <w:right w:val="nil"/>
            </w:tcBorders>
            <w:shd w:val="clear" w:color="000000" w:fill="F2F2F2"/>
            <w:vAlign w:val="center"/>
            <w:hideMark/>
          </w:tcPr>
          <w:p w14:paraId="22D8C751" w14:textId="77777777" w:rsidR="00972BC5" w:rsidRPr="00972BC5" w:rsidRDefault="00972BC5" w:rsidP="00972BC5">
            <w:pPr>
              <w:spacing w:after="0" w:line="240" w:lineRule="auto"/>
              <w:rPr>
                <w:rFonts w:ascii="Montserrat" w:eastAsia="Times New Roman" w:hAnsi="Montserrat"/>
                <w:b/>
                <w:bCs/>
                <w:color w:val="000000"/>
                <w:sz w:val="15"/>
                <w:szCs w:val="15"/>
                <w:lang w:val="es-MX" w:eastAsia="es-MX"/>
              </w:rPr>
            </w:pPr>
            <w:r w:rsidRPr="00972BC5">
              <w:rPr>
                <w:rFonts w:ascii="Montserrat" w:eastAsia="Times New Roman" w:hAnsi="Montserrat"/>
                <w:b/>
                <w:bCs/>
                <w:color w:val="000000"/>
                <w:sz w:val="15"/>
                <w:szCs w:val="15"/>
                <w:lang w:val="es-MX" w:eastAsia="es-MX"/>
              </w:rPr>
              <w:t>Total Cuentas por Pagar a Corto Plazo</w:t>
            </w:r>
          </w:p>
        </w:tc>
        <w:tc>
          <w:tcPr>
            <w:tcW w:w="1913" w:type="dxa"/>
            <w:tcBorders>
              <w:top w:val="nil"/>
              <w:left w:val="nil"/>
              <w:bottom w:val="single" w:sz="12" w:space="0" w:color="808080"/>
              <w:right w:val="nil"/>
            </w:tcBorders>
            <w:shd w:val="clear" w:color="000000" w:fill="F2F2F2"/>
            <w:vAlign w:val="center"/>
            <w:hideMark/>
          </w:tcPr>
          <w:p w14:paraId="716329FE" w14:textId="77777777" w:rsidR="00972BC5" w:rsidRPr="00972BC5" w:rsidRDefault="00972BC5" w:rsidP="00972BC5">
            <w:pPr>
              <w:spacing w:after="0" w:line="240" w:lineRule="auto"/>
              <w:jc w:val="right"/>
              <w:rPr>
                <w:rFonts w:ascii="Montserrat" w:eastAsia="Times New Roman" w:hAnsi="Montserrat"/>
                <w:b/>
                <w:bCs/>
                <w:color w:val="000000"/>
                <w:sz w:val="15"/>
                <w:szCs w:val="15"/>
                <w:lang w:val="es-MX" w:eastAsia="es-MX"/>
              </w:rPr>
            </w:pPr>
            <w:r w:rsidRPr="00972BC5">
              <w:rPr>
                <w:rFonts w:ascii="Montserrat" w:eastAsia="Times New Roman" w:hAnsi="Montserrat"/>
                <w:b/>
                <w:bCs/>
                <w:color w:val="000000"/>
                <w:sz w:val="15"/>
                <w:szCs w:val="15"/>
                <w:lang w:val="es-MX" w:eastAsia="es-MX"/>
              </w:rPr>
              <w:t>21,101,829,139.2</w:t>
            </w:r>
          </w:p>
        </w:tc>
        <w:tc>
          <w:tcPr>
            <w:tcW w:w="1913" w:type="dxa"/>
            <w:tcBorders>
              <w:top w:val="nil"/>
              <w:left w:val="nil"/>
              <w:bottom w:val="single" w:sz="12" w:space="0" w:color="808080"/>
              <w:right w:val="nil"/>
            </w:tcBorders>
            <w:shd w:val="clear" w:color="000000" w:fill="F2F2F2"/>
            <w:vAlign w:val="center"/>
            <w:hideMark/>
          </w:tcPr>
          <w:p w14:paraId="044EDEA0" w14:textId="77777777" w:rsidR="00972BC5" w:rsidRPr="00972BC5" w:rsidRDefault="00972BC5" w:rsidP="00972BC5">
            <w:pPr>
              <w:spacing w:after="0" w:line="240" w:lineRule="auto"/>
              <w:jc w:val="right"/>
              <w:rPr>
                <w:rFonts w:ascii="Montserrat" w:eastAsia="Times New Roman" w:hAnsi="Montserrat"/>
                <w:b/>
                <w:bCs/>
                <w:color w:val="000000"/>
                <w:sz w:val="15"/>
                <w:szCs w:val="15"/>
                <w:lang w:val="es-MX" w:eastAsia="es-MX"/>
              </w:rPr>
            </w:pPr>
            <w:r w:rsidRPr="00972BC5">
              <w:rPr>
                <w:rFonts w:ascii="Montserrat" w:eastAsia="Times New Roman" w:hAnsi="Montserrat"/>
                <w:b/>
                <w:bCs/>
                <w:color w:val="000000"/>
                <w:sz w:val="15"/>
                <w:szCs w:val="15"/>
                <w:lang w:val="es-MX" w:eastAsia="es-MX"/>
              </w:rPr>
              <w:t>36,506,834,582.3</w:t>
            </w:r>
          </w:p>
        </w:tc>
      </w:tr>
    </w:tbl>
    <w:p w14:paraId="2935F2C1" w14:textId="77777777" w:rsidR="00972BC5" w:rsidRDefault="00972BC5" w:rsidP="004B1F81">
      <w:pPr>
        <w:pStyle w:val="TEXTONORMAL"/>
      </w:pPr>
    </w:p>
    <w:p w14:paraId="15AE9CEC" w14:textId="77777777" w:rsidR="0044011D" w:rsidRPr="004005A8" w:rsidRDefault="009D5C48" w:rsidP="003F2A12">
      <w:pPr>
        <w:pStyle w:val="TEXTONORMAL"/>
        <w:numPr>
          <w:ilvl w:val="0"/>
          <w:numId w:val="33"/>
        </w:numPr>
        <w:rPr>
          <w:lang w:val="es-MX"/>
        </w:rPr>
      </w:pPr>
      <w:r>
        <w:rPr>
          <w:b/>
          <w:lang w:val="es-MX"/>
        </w:rPr>
        <w:t>2.1.a</w:t>
      </w:r>
      <w:r w:rsidRPr="00A50EDF">
        <w:rPr>
          <w:b/>
          <w:lang w:val="es-MX"/>
        </w:rPr>
        <w:t>)</w:t>
      </w:r>
      <w:r>
        <w:rPr>
          <w:lang w:val="es-MX"/>
        </w:rPr>
        <w:t xml:space="preserve"> </w:t>
      </w:r>
      <w:r w:rsidR="00966A78">
        <w:t>Al 30</w:t>
      </w:r>
      <w:r w:rsidR="0044011D">
        <w:t xml:space="preserve"> de </w:t>
      </w:r>
      <w:r w:rsidR="00D04B0E">
        <w:t>septiembre</w:t>
      </w:r>
      <w:r w:rsidR="0044011D">
        <w:t xml:space="preserve"> de 2022</w:t>
      </w:r>
      <w:r w:rsidR="0044011D" w:rsidRPr="000B2CE4">
        <w:t xml:space="preserve"> y</w:t>
      </w:r>
      <w:r w:rsidR="0044011D">
        <w:t xml:space="preserve"> al</w:t>
      </w:r>
      <w:r w:rsidR="0044011D" w:rsidRPr="000B2CE4">
        <w:t xml:space="preserve"> </w:t>
      </w:r>
      <w:r w:rsidR="0044011D">
        <w:t>31 de diciembre de 2021</w:t>
      </w:r>
      <w:r w:rsidRPr="00FE23B3">
        <w:rPr>
          <w:lang w:val="es-MX"/>
        </w:rPr>
        <w:t>, el rubro de Proveedores a Corto Plazo se integra de la siguiente manera</w:t>
      </w:r>
      <w:r w:rsidR="00CD76FB">
        <w:rPr>
          <w:lang w:val="es-MX"/>
        </w:rPr>
        <w:t>:</w:t>
      </w:r>
    </w:p>
    <w:p w14:paraId="66C6D629" w14:textId="77777777" w:rsidR="0044011D" w:rsidRDefault="0044011D" w:rsidP="0044011D">
      <w:pPr>
        <w:pStyle w:val="TEXTONORMAL"/>
        <w:rPr>
          <w:lang w:val="es-MX"/>
        </w:rPr>
      </w:pPr>
    </w:p>
    <w:tbl>
      <w:tblPr>
        <w:tblW w:w="10525" w:type="dxa"/>
        <w:jc w:val="center"/>
        <w:tblCellMar>
          <w:left w:w="70" w:type="dxa"/>
          <w:right w:w="70" w:type="dxa"/>
        </w:tblCellMar>
        <w:tblLook w:val="04A0" w:firstRow="1" w:lastRow="0" w:firstColumn="1" w:lastColumn="0" w:noHBand="0" w:noVBand="1"/>
      </w:tblPr>
      <w:tblGrid>
        <w:gridCol w:w="6609"/>
        <w:gridCol w:w="1957"/>
        <w:gridCol w:w="1959"/>
      </w:tblGrid>
      <w:tr w:rsidR="00C23901" w:rsidRPr="00C23901" w14:paraId="61A77153" w14:textId="77777777" w:rsidTr="00C23901">
        <w:trPr>
          <w:trHeight w:val="269"/>
          <w:jc w:val="center"/>
        </w:trPr>
        <w:tc>
          <w:tcPr>
            <w:tcW w:w="660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512C738" w14:textId="77777777" w:rsidR="00C23901" w:rsidRPr="00C23901" w:rsidRDefault="00C23901" w:rsidP="00C23901">
            <w:pPr>
              <w:spacing w:after="0" w:line="240" w:lineRule="auto"/>
              <w:jc w:val="center"/>
              <w:rPr>
                <w:rFonts w:ascii="Montserrat" w:eastAsia="Times New Roman" w:hAnsi="Montserrat"/>
                <w:b/>
                <w:bCs/>
                <w:color w:val="FFFFFF"/>
                <w:sz w:val="16"/>
                <w:szCs w:val="16"/>
                <w:lang w:val="es-MX" w:eastAsia="es-MX"/>
              </w:rPr>
            </w:pPr>
            <w:r w:rsidRPr="00C23901">
              <w:rPr>
                <w:rFonts w:ascii="Montserrat" w:eastAsia="Times New Roman" w:hAnsi="Montserrat"/>
                <w:b/>
                <w:bCs/>
                <w:color w:val="FFFFFF"/>
                <w:sz w:val="16"/>
                <w:szCs w:val="16"/>
                <w:lang w:val="es-MX" w:eastAsia="es-MX"/>
              </w:rPr>
              <w:t>Concepto</w:t>
            </w:r>
          </w:p>
        </w:tc>
        <w:tc>
          <w:tcPr>
            <w:tcW w:w="391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C71B7DC" w14:textId="77777777" w:rsidR="00C23901" w:rsidRPr="00C23901" w:rsidRDefault="00C23901" w:rsidP="00C23901">
            <w:pPr>
              <w:spacing w:after="0" w:line="240" w:lineRule="auto"/>
              <w:jc w:val="center"/>
              <w:rPr>
                <w:rFonts w:ascii="Montserrat" w:eastAsia="Times New Roman" w:hAnsi="Montserrat"/>
                <w:b/>
                <w:bCs/>
                <w:color w:val="FFFFFF"/>
                <w:sz w:val="16"/>
                <w:szCs w:val="16"/>
                <w:lang w:val="es-MX" w:eastAsia="es-MX"/>
              </w:rPr>
            </w:pPr>
            <w:r w:rsidRPr="00C23901">
              <w:rPr>
                <w:rFonts w:ascii="Montserrat" w:eastAsia="Times New Roman" w:hAnsi="Montserrat"/>
                <w:b/>
                <w:bCs/>
                <w:color w:val="FFFFFF"/>
                <w:sz w:val="16"/>
                <w:szCs w:val="16"/>
                <w:lang w:val="es-MX" w:eastAsia="es-MX"/>
              </w:rPr>
              <w:t>Cifras en pesos</w:t>
            </w:r>
          </w:p>
        </w:tc>
      </w:tr>
      <w:tr w:rsidR="00C23901" w:rsidRPr="00C23901" w14:paraId="11990AEA" w14:textId="77777777" w:rsidTr="00C23901">
        <w:trPr>
          <w:trHeight w:val="269"/>
          <w:jc w:val="center"/>
        </w:trPr>
        <w:tc>
          <w:tcPr>
            <w:tcW w:w="6609" w:type="dxa"/>
            <w:vMerge/>
            <w:tcBorders>
              <w:top w:val="single" w:sz="12" w:space="0" w:color="808080"/>
              <w:left w:val="single" w:sz="12" w:space="0" w:color="FFFFFF"/>
              <w:bottom w:val="double" w:sz="6" w:space="0" w:color="808080"/>
              <w:right w:val="single" w:sz="12" w:space="0" w:color="FFFFFF"/>
            </w:tcBorders>
            <w:vAlign w:val="center"/>
            <w:hideMark/>
          </w:tcPr>
          <w:p w14:paraId="6FB36779" w14:textId="77777777" w:rsidR="00C23901" w:rsidRPr="00C23901" w:rsidRDefault="00C23901" w:rsidP="00C23901">
            <w:pPr>
              <w:spacing w:after="0" w:line="240" w:lineRule="auto"/>
              <w:rPr>
                <w:rFonts w:ascii="Montserrat" w:eastAsia="Times New Roman" w:hAnsi="Montserrat"/>
                <w:b/>
                <w:bCs/>
                <w:color w:val="FFFFFF"/>
                <w:sz w:val="16"/>
                <w:szCs w:val="16"/>
                <w:lang w:val="es-MX" w:eastAsia="es-MX"/>
              </w:rPr>
            </w:pPr>
          </w:p>
        </w:tc>
        <w:tc>
          <w:tcPr>
            <w:tcW w:w="1957" w:type="dxa"/>
            <w:tcBorders>
              <w:top w:val="nil"/>
              <w:left w:val="nil"/>
              <w:bottom w:val="double" w:sz="6" w:space="0" w:color="808080"/>
              <w:right w:val="single" w:sz="12" w:space="0" w:color="FFFFFF"/>
            </w:tcBorders>
            <w:shd w:val="clear" w:color="000000" w:fill="D4C19C"/>
            <w:vAlign w:val="center"/>
            <w:hideMark/>
          </w:tcPr>
          <w:p w14:paraId="5095837E" w14:textId="77777777" w:rsidR="00C23901" w:rsidRPr="00C23901" w:rsidRDefault="00C23901" w:rsidP="00C23901">
            <w:pPr>
              <w:spacing w:after="0" w:line="240" w:lineRule="auto"/>
              <w:jc w:val="center"/>
              <w:rPr>
                <w:rFonts w:ascii="Montserrat" w:eastAsia="Times New Roman" w:hAnsi="Montserrat"/>
                <w:b/>
                <w:bCs/>
                <w:color w:val="FFFFFF"/>
                <w:sz w:val="16"/>
                <w:szCs w:val="16"/>
                <w:lang w:val="es-MX" w:eastAsia="es-MX"/>
              </w:rPr>
            </w:pPr>
            <w:r w:rsidRPr="00C23901">
              <w:rPr>
                <w:rFonts w:ascii="Montserrat" w:eastAsia="Times New Roman" w:hAnsi="Montserrat"/>
                <w:b/>
                <w:bCs/>
                <w:color w:val="FFFFFF"/>
                <w:sz w:val="16"/>
                <w:szCs w:val="16"/>
                <w:lang w:val="es-MX" w:eastAsia="es-MX"/>
              </w:rPr>
              <w:t>2022</w:t>
            </w:r>
          </w:p>
        </w:tc>
        <w:tc>
          <w:tcPr>
            <w:tcW w:w="1958" w:type="dxa"/>
            <w:tcBorders>
              <w:top w:val="nil"/>
              <w:left w:val="nil"/>
              <w:bottom w:val="double" w:sz="6" w:space="0" w:color="808080"/>
              <w:right w:val="single" w:sz="12" w:space="0" w:color="FFFFFF"/>
            </w:tcBorders>
            <w:shd w:val="clear" w:color="000000" w:fill="D4C19C"/>
            <w:vAlign w:val="center"/>
            <w:hideMark/>
          </w:tcPr>
          <w:p w14:paraId="12E26067" w14:textId="77777777" w:rsidR="00C23901" w:rsidRPr="00C23901" w:rsidRDefault="00C23901" w:rsidP="00C23901">
            <w:pPr>
              <w:spacing w:after="0" w:line="240" w:lineRule="auto"/>
              <w:jc w:val="center"/>
              <w:rPr>
                <w:rFonts w:ascii="Montserrat" w:eastAsia="Times New Roman" w:hAnsi="Montserrat"/>
                <w:b/>
                <w:bCs/>
                <w:color w:val="FFFFFF"/>
                <w:sz w:val="16"/>
                <w:szCs w:val="16"/>
                <w:lang w:val="es-MX" w:eastAsia="es-MX"/>
              </w:rPr>
            </w:pPr>
            <w:r w:rsidRPr="00C23901">
              <w:rPr>
                <w:rFonts w:ascii="Montserrat" w:eastAsia="Times New Roman" w:hAnsi="Montserrat"/>
                <w:b/>
                <w:bCs/>
                <w:color w:val="FFFFFF"/>
                <w:sz w:val="16"/>
                <w:szCs w:val="16"/>
                <w:lang w:val="es-MX" w:eastAsia="es-MX"/>
              </w:rPr>
              <w:t>2021</w:t>
            </w:r>
          </w:p>
        </w:tc>
      </w:tr>
      <w:tr w:rsidR="00C23901" w:rsidRPr="00C23901" w14:paraId="1AC3D324" w14:textId="77777777" w:rsidTr="00C23901">
        <w:trPr>
          <w:trHeight w:val="257"/>
          <w:jc w:val="center"/>
        </w:trPr>
        <w:tc>
          <w:tcPr>
            <w:tcW w:w="6609" w:type="dxa"/>
            <w:tcBorders>
              <w:top w:val="nil"/>
              <w:left w:val="nil"/>
              <w:bottom w:val="nil"/>
              <w:right w:val="nil"/>
            </w:tcBorders>
            <w:shd w:val="clear" w:color="000000" w:fill="F2F2F2"/>
            <w:vAlign w:val="center"/>
            <w:hideMark/>
          </w:tcPr>
          <w:p w14:paraId="37446F07" w14:textId="77777777" w:rsidR="00C23901" w:rsidRPr="00C23901" w:rsidRDefault="00C23901" w:rsidP="00C23901">
            <w:pPr>
              <w:spacing w:after="0" w:line="240" w:lineRule="auto"/>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Materiales y Suministros</w:t>
            </w:r>
          </w:p>
        </w:tc>
        <w:tc>
          <w:tcPr>
            <w:tcW w:w="1957" w:type="dxa"/>
            <w:tcBorders>
              <w:top w:val="nil"/>
              <w:left w:val="nil"/>
              <w:bottom w:val="nil"/>
              <w:right w:val="nil"/>
            </w:tcBorders>
            <w:shd w:val="clear" w:color="000000" w:fill="F2F2F2"/>
            <w:vAlign w:val="center"/>
            <w:hideMark/>
          </w:tcPr>
          <w:p w14:paraId="576425F9"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9,440,629,109.6</w:t>
            </w:r>
          </w:p>
        </w:tc>
        <w:tc>
          <w:tcPr>
            <w:tcW w:w="1958" w:type="dxa"/>
            <w:tcBorders>
              <w:top w:val="nil"/>
              <w:left w:val="nil"/>
              <w:bottom w:val="nil"/>
              <w:right w:val="nil"/>
            </w:tcBorders>
            <w:shd w:val="clear" w:color="000000" w:fill="F2F2F2"/>
            <w:vAlign w:val="center"/>
            <w:hideMark/>
          </w:tcPr>
          <w:p w14:paraId="3811B7C5"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15,279,865,494.9</w:t>
            </w:r>
          </w:p>
        </w:tc>
      </w:tr>
      <w:tr w:rsidR="00C23901" w:rsidRPr="00C23901" w14:paraId="0527DAD1" w14:textId="77777777" w:rsidTr="00C23901">
        <w:trPr>
          <w:trHeight w:val="245"/>
          <w:jc w:val="center"/>
        </w:trPr>
        <w:tc>
          <w:tcPr>
            <w:tcW w:w="6609" w:type="dxa"/>
            <w:tcBorders>
              <w:top w:val="nil"/>
              <w:left w:val="nil"/>
              <w:bottom w:val="nil"/>
              <w:right w:val="nil"/>
            </w:tcBorders>
            <w:shd w:val="clear" w:color="000000" w:fill="F2F2F2"/>
            <w:vAlign w:val="center"/>
            <w:hideMark/>
          </w:tcPr>
          <w:p w14:paraId="6587C5FF" w14:textId="77777777" w:rsidR="00C23901" w:rsidRPr="00C23901" w:rsidRDefault="00C23901" w:rsidP="00C23901">
            <w:pPr>
              <w:spacing w:after="0" w:line="240" w:lineRule="auto"/>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Servicios Generales</w:t>
            </w:r>
          </w:p>
        </w:tc>
        <w:tc>
          <w:tcPr>
            <w:tcW w:w="1957" w:type="dxa"/>
            <w:tcBorders>
              <w:top w:val="nil"/>
              <w:left w:val="nil"/>
              <w:bottom w:val="nil"/>
              <w:right w:val="nil"/>
            </w:tcBorders>
            <w:shd w:val="clear" w:color="000000" w:fill="F2F2F2"/>
            <w:vAlign w:val="center"/>
            <w:hideMark/>
          </w:tcPr>
          <w:p w14:paraId="24C3B123"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2,596,666,207.9</w:t>
            </w:r>
          </w:p>
        </w:tc>
        <w:tc>
          <w:tcPr>
            <w:tcW w:w="1958" w:type="dxa"/>
            <w:tcBorders>
              <w:top w:val="nil"/>
              <w:left w:val="nil"/>
              <w:bottom w:val="nil"/>
              <w:right w:val="nil"/>
            </w:tcBorders>
            <w:shd w:val="clear" w:color="000000" w:fill="F2F2F2"/>
            <w:vAlign w:val="center"/>
            <w:hideMark/>
          </w:tcPr>
          <w:p w14:paraId="026F5BF8"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5,250,822,189.0</w:t>
            </w:r>
          </w:p>
        </w:tc>
      </w:tr>
      <w:tr w:rsidR="00C23901" w:rsidRPr="00C23901" w14:paraId="7F1AE8AF" w14:textId="77777777" w:rsidTr="00C23901">
        <w:trPr>
          <w:trHeight w:val="245"/>
          <w:jc w:val="center"/>
        </w:trPr>
        <w:tc>
          <w:tcPr>
            <w:tcW w:w="6609" w:type="dxa"/>
            <w:tcBorders>
              <w:top w:val="nil"/>
              <w:left w:val="nil"/>
              <w:bottom w:val="nil"/>
              <w:right w:val="nil"/>
            </w:tcBorders>
            <w:shd w:val="clear" w:color="000000" w:fill="F2F2F2"/>
            <w:vAlign w:val="center"/>
            <w:hideMark/>
          </w:tcPr>
          <w:p w14:paraId="65022D5D" w14:textId="77777777" w:rsidR="00C23901" w:rsidRPr="00C23901" w:rsidRDefault="00C23901" w:rsidP="00C23901">
            <w:pPr>
              <w:spacing w:after="0" w:line="240" w:lineRule="auto"/>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Bienes Muebles</w:t>
            </w:r>
          </w:p>
        </w:tc>
        <w:tc>
          <w:tcPr>
            <w:tcW w:w="1957" w:type="dxa"/>
            <w:tcBorders>
              <w:top w:val="nil"/>
              <w:left w:val="nil"/>
              <w:bottom w:val="nil"/>
              <w:right w:val="nil"/>
            </w:tcBorders>
            <w:shd w:val="clear" w:color="000000" w:fill="F2F2F2"/>
            <w:vAlign w:val="center"/>
            <w:hideMark/>
          </w:tcPr>
          <w:p w14:paraId="1F93246A"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380,760,072.6</w:t>
            </w:r>
          </w:p>
        </w:tc>
        <w:tc>
          <w:tcPr>
            <w:tcW w:w="1958" w:type="dxa"/>
            <w:tcBorders>
              <w:top w:val="nil"/>
              <w:left w:val="nil"/>
              <w:bottom w:val="nil"/>
              <w:right w:val="nil"/>
            </w:tcBorders>
            <w:shd w:val="clear" w:color="000000" w:fill="F2F2F2"/>
            <w:vAlign w:val="center"/>
            <w:hideMark/>
          </w:tcPr>
          <w:p w14:paraId="6AE8C6AE"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783,380,947.6</w:t>
            </w:r>
          </w:p>
        </w:tc>
      </w:tr>
      <w:tr w:rsidR="00C23901" w:rsidRPr="00C23901" w14:paraId="7B6F368F" w14:textId="77777777" w:rsidTr="00C23901">
        <w:trPr>
          <w:trHeight w:val="245"/>
          <w:jc w:val="center"/>
        </w:trPr>
        <w:tc>
          <w:tcPr>
            <w:tcW w:w="6609" w:type="dxa"/>
            <w:tcBorders>
              <w:top w:val="nil"/>
              <w:left w:val="nil"/>
              <w:bottom w:val="nil"/>
              <w:right w:val="nil"/>
            </w:tcBorders>
            <w:shd w:val="clear" w:color="000000" w:fill="F2F2F2"/>
            <w:vAlign w:val="center"/>
            <w:hideMark/>
          </w:tcPr>
          <w:p w14:paraId="465D7BEF" w14:textId="77777777" w:rsidR="00C23901" w:rsidRPr="00C23901" w:rsidRDefault="00C23901" w:rsidP="00C23901">
            <w:pPr>
              <w:spacing w:after="0" w:line="240" w:lineRule="auto"/>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Tiendas</w:t>
            </w:r>
          </w:p>
        </w:tc>
        <w:tc>
          <w:tcPr>
            <w:tcW w:w="1957" w:type="dxa"/>
            <w:tcBorders>
              <w:top w:val="nil"/>
              <w:left w:val="nil"/>
              <w:bottom w:val="nil"/>
              <w:right w:val="nil"/>
            </w:tcBorders>
            <w:shd w:val="clear" w:color="000000" w:fill="F2F2F2"/>
            <w:vAlign w:val="center"/>
            <w:hideMark/>
          </w:tcPr>
          <w:p w14:paraId="0B684B21"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175,097,666.8</w:t>
            </w:r>
          </w:p>
        </w:tc>
        <w:tc>
          <w:tcPr>
            <w:tcW w:w="1958" w:type="dxa"/>
            <w:tcBorders>
              <w:top w:val="nil"/>
              <w:left w:val="nil"/>
              <w:bottom w:val="nil"/>
              <w:right w:val="nil"/>
            </w:tcBorders>
            <w:shd w:val="clear" w:color="000000" w:fill="F2F2F2"/>
            <w:vAlign w:val="center"/>
            <w:hideMark/>
          </w:tcPr>
          <w:p w14:paraId="3B16F985"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154,861,428.7</w:t>
            </w:r>
          </w:p>
        </w:tc>
      </w:tr>
      <w:tr w:rsidR="00C23901" w:rsidRPr="00C23901" w14:paraId="3605FF89" w14:textId="77777777" w:rsidTr="00C23901">
        <w:trPr>
          <w:trHeight w:val="245"/>
          <w:jc w:val="center"/>
        </w:trPr>
        <w:tc>
          <w:tcPr>
            <w:tcW w:w="6609" w:type="dxa"/>
            <w:tcBorders>
              <w:top w:val="nil"/>
              <w:left w:val="nil"/>
              <w:bottom w:val="nil"/>
              <w:right w:val="nil"/>
            </w:tcBorders>
            <w:shd w:val="clear" w:color="000000" w:fill="F2F2F2"/>
            <w:vAlign w:val="center"/>
            <w:hideMark/>
          </w:tcPr>
          <w:p w14:paraId="748D0495" w14:textId="77777777" w:rsidR="00C23901" w:rsidRPr="00C23901" w:rsidRDefault="00C23901" w:rsidP="00C23901">
            <w:pPr>
              <w:spacing w:after="0" w:line="240" w:lineRule="auto"/>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Otros Proveedores</w:t>
            </w:r>
          </w:p>
        </w:tc>
        <w:tc>
          <w:tcPr>
            <w:tcW w:w="1957" w:type="dxa"/>
            <w:tcBorders>
              <w:top w:val="nil"/>
              <w:left w:val="nil"/>
              <w:bottom w:val="nil"/>
              <w:right w:val="nil"/>
            </w:tcBorders>
            <w:shd w:val="clear" w:color="000000" w:fill="F2F2F2"/>
            <w:vAlign w:val="center"/>
            <w:hideMark/>
          </w:tcPr>
          <w:p w14:paraId="60F5B30D"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7,721,784.0</w:t>
            </w:r>
          </w:p>
        </w:tc>
        <w:tc>
          <w:tcPr>
            <w:tcW w:w="1958" w:type="dxa"/>
            <w:tcBorders>
              <w:top w:val="nil"/>
              <w:left w:val="nil"/>
              <w:bottom w:val="nil"/>
              <w:right w:val="nil"/>
            </w:tcBorders>
            <w:shd w:val="clear" w:color="000000" w:fill="F2F2F2"/>
            <w:vAlign w:val="center"/>
            <w:hideMark/>
          </w:tcPr>
          <w:p w14:paraId="4CE2DB5B" w14:textId="77777777" w:rsidR="00C23901" w:rsidRPr="00C23901" w:rsidRDefault="00C23901" w:rsidP="00C23901">
            <w:pPr>
              <w:spacing w:after="0" w:line="240" w:lineRule="auto"/>
              <w:jc w:val="right"/>
              <w:rPr>
                <w:rFonts w:ascii="Montserrat" w:eastAsia="Times New Roman" w:hAnsi="Montserrat"/>
                <w:color w:val="000000"/>
                <w:sz w:val="15"/>
                <w:szCs w:val="15"/>
                <w:lang w:val="es-MX" w:eastAsia="es-MX"/>
              </w:rPr>
            </w:pPr>
            <w:r w:rsidRPr="00C23901">
              <w:rPr>
                <w:rFonts w:ascii="Montserrat" w:eastAsia="Times New Roman" w:hAnsi="Montserrat"/>
                <w:color w:val="000000"/>
                <w:sz w:val="15"/>
                <w:szCs w:val="15"/>
                <w:lang w:val="es-MX" w:eastAsia="es-MX"/>
              </w:rPr>
              <w:t>17,266,638.1</w:t>
            </w:r>
          </w:p>
        </w:tc>
      </w:tr>
      <w:tr w:rsidR="00C23901" w:rsidRPr="00C23901" w14:paraId="6422BF96" w14:textId="77777777" w:rsidTr="00C23901">
        <w:trPr>
          <w:trHeight w:val="257"/>
          <w:jc w:val="center"/>
        </w:trPr>
        <w:tc>
          <w:tcPr>
            <w:tcW w:w="6609" w:type="dxa"/>
            <w:tcBorders>
              <w:top w:val="nil"/>
              <w:left w:val="nil"/>
              <w:bottom w:val="single" w:sz="12" w:space="0" w:color="808080"/>
              <w:right w:val="nil"/>
            </w:tcBorders>
            <w:shd w:val="clear" w:color="000000" w:fill="F2F2F2"/>
            <w:vAlign w:val="center"/>
            <w:hideMark/>
          </w:tcPr>
          <w:p w14:paraId="1F28FD91" w14:textId="77777777" w:rsidR="00C23901" w:rsidRPr="00C23901" w:rsidRDefault="00C23901" w:rsidP="00C23901">
            <w:pPr>
              <w:spacing w:after="0" w:line="240" w:lineRule="auto"/>
              <w:rPr>
                <w:rFonts w:ascii="Montserrat" w:eastAsia="Times New Roman" w:hAnsi="Montserrat"/>
                <w:b/>
                <w:bCs/>
                <w:color w:val="000000"/>
                <w:sz w:val="15"/>
                <w:szCs w:val="15"/>
                <w:lang w:val="es-MX" w:eastAsia="es-MX"/>
              </w:rPr>
            </w:pPr>
            <w:r w:rsidRPr="00C23901">
              <w:rPr>
                <w:rFonts w:ascii="Montserrat" w:eastAsia="Times New Roman" w:hAnsi="Montserrat"/>
                <w:b/>
                <w:bCs/>
                <w:color w:val="000000"/>
                <w:sz w:val="15"/>
                <w:szCs w:val="15"/>
                <w:lang w:val="es-MX" w:eastAsia="es-MX"/>
              </w:rPr>
              <w:t>Total Proveedores por Pagar</w:t>
            </w:r>
          </w:p>
        </w:tc>
        <w:tc>
          <w:tcPr>
            <w:tcW w:w="1957" w:type="dxa"/>
            <w:tcBorders>
              <w:top w:val="nil"/>
              <w:left w:val="nil"/>
              <w:bottom w:val="single" w:sz="12" w:space="0" w:color="808080"/>
              <w:right w:val="nil"/>
            </w:tcBorders>
            <w:shd w:val="clear" w:color="000000" w:fill="F2F2F2"/>
            <w:vAlign w:val="center"/>
            <w:hideMark/>
          </w:tcPr>
          <w:p w14:paraId="02947281" w14:textId="77777777" w:rsidR="00C23901" w:rsidRPr="00C23901" w:rsidRDefault="00C23901" w:rsidP="00C23901">
            <w:pPr>
              <w:spacing w:after="0" w:line="240" w:lineRule="auto"/>
              <w:jc w:val="right"/>
              <w:rPr>
                <w:rFonts w:ascii="Montserrat" w:eastAsia="Times New Roman" w:hAnsi="Montserrat"/>
                <w:b/>
                <w:bCs/>
                <w:color w:val="000000"/>
                <w:sz w:val="15"/>
                <w:szCs w:val="15"/>
                <w:lang w:val="es-MX" w:eastAsia="es-MX"/>
              </w:rPr>
            </w:pPr>
            <w:r w:rsidRPr="00C23901">
              <w:rPr>
                <w:rFonts w:ascii="Montserrat" w:eastAsia="Times New Roman" w:hAnsi="Montserrat"/>
                <w:b/>
                <w:bCs/>
                <w:color w:val="000000"/>
                <w:sz w:val="15"/>
                <w:szCs w:val="15"/>
                <w:lang w:val="es-MX" w:eastAsia="es-MX"/>
              </w:rPr>
              <w:t>12,600,874,840.9</w:t>
            </w:r>
          </w:p>
        </w:tc>
        <w:tc>
          <w:tcPr>
            <w:tcW w:w="1958" w:type="dxa"/>
            <w:tcBorders>
              <w:top w:val="nil"/>
              <w:left w:val="nil"/>
              <w:bottom w:val="single" w:sz="12" w:space="0" w:color="808080"/>
              <w:right w:val="nil"/>
            </w:tcBorders>
            <w:shd w:val="clear" w:color="000000" w:fill="F2F2F2"/>
            <w:vAlign w:val="center"/>
            <w:hideMark/>
          </w:tcPr>
          <w:p w14:paraId="13F975A4" w14:textId="77777777" w:rsidR="00C23901" w:rsidRPr="00C23901" w:rsidRDefault="00C23901" w:rsidP="00C23901">
            <w:pPr>
              <w:spacing w:after="0" w:line="240" w:lineRule="auto"/>
              <w:jc w:val="right"/>
              <w:rPr>
                <w:rFonts w:ascii="Montserrat" w:eastAsia="Times New Roman" w:hAnsi="Montserrat"/>
                <w:b/>
                <w:bCs/>
                <w:color w:val="000000"/>
                <w:sz w:val="15"/>
                <w:szCs w:val="15"/>
                <w:lang w:val="es-MX" w:eastAsia="es-MX"/>
              </w:rPr>
            </w:pPr>
            <w:r w:rsidRPr="00C23901">
              <w:rPr>
                <w:rFonts w:ascii="Montserrat" w:eastAsia="Times New Roman" w:hAnsi="Montserrat"/>
                <w:b/>
                <w:bCs/>
                <w:color w:val="000000"/>
                <w:sz w:val="15"/>
                <w:szCs w:val="15"/>
                <w:lang w:val="es-MX" w:eastAsia="es-MX"/>
              </w:rPr>
              <w:t>21,486,196,698.3</w:t>
            </w:r>
          </w:p>
        </w:tc>
      </w:tr>
    </w:tbl>
    <w:p w14:paraId="241CD860" w14:textId="77777777" w:rsidR="00C23901" w:rsidRDefault="00C23901" w:rsidP="0044011D">
      <w:pPr>
        <w:pStyle w:val="TEXTONORMAL"/>
        <w:rPr>
          <w:lang w:val="es-MX"/>
        </w:rPr>
      </w:pPr>
    </w:p>
    <w:p w14:paraId="01A5B086" w14:textId="77777777" w:rsidR="00C23901" w:rsidRDefault="00C23901" w:rsidP="0044011D">
      <w:pPr>
        <w:pStyle w:val="TEXTONORMAL"/>
        <w:rPr>
          <w:lang w:val="es-MX"/>
        </w:rPr>
      </w:pPr>
    </w:p>
    <w:p w14:paraId="4C71A965" w14:textId="77777777" w:rsidR="00C54E5A" w:rsidRDefault="00C54E5A" w:rsidP="0044011D">
      <w:pPr>
        <w:pStyle w:val="TEXTONORMAL"/>
        <w:rPr>
          <w:lang w:val="es-MX"/>
        </w:rPr>
      </w:pPr>
    </w:p>
    <w:p w14:paraId="3F7C61AF" w14:textId="77777777" w:rsidR="009D5C48" w:rsidRDefault="009D5C48" w:rsidP="003F2A12">
      <w:pPr>
        <w:pStyle w:val="TEXTONORMAL"/>
        <w:numPr>
          <w:ilvl w:val="0"/>
          <w:numId w:val="33"/>
        </w:numPr>
        <w:rPr>
          <w:lang w:val="es-MX"/>
        </w:rPr>
      </w:pPr>
      <w:r>
        <w:rPr>
          <w:b/>
          <w:lang w:val="es-MX"/>
        </w:rPr>
        <w:lastRenderedPageBreak/>
        <w:t>2.1.b</w:t>
      </w:r>
      <w:r w:rsidRPr="00A50EDF">
        <w:rPr>
          <w:b/>
          <w:lang w:val="es-MX"/>
        </w:rPr>
        <w:t>)</w:t>
      </w:r>
      <w:r>
        <w:rPr>
          <w:lang w:val="es-MX"/>
        </w:rPr>
        <w:t xml:space="preserve"> </w:t>
      </w:r>
      <w:r w:rsidR="0014161D">
        <w:t>Al 30 de septiembre</w:t>
      </w:r>
      <w:r w:rsidR="0044011D">
        <w:t xml:space="preserve">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xml:space="preserve">, el rubro </w:t>
      </w:r>
      <w:r>
        <w:rPr>
          <w:lang w:val="es-MX"/>
        </w:rPr>
        <w:t xml:space="preserve">de Retenciones y Contribuciones por Pagar </w:t>
      </w:r>
      <w:r w:rsidRPr="000C6CA9">
        <w:rPr>
          <w:lang w:val="es-MX"/>
        </w:rPr>
        <w:t>se integra de la siguiente manera:</w:t>
      </w:r>
    </w:p>
    <w:p w14:paraId="21BC3B49" w14:textId="77777777" w:rsidR="003D65F2" w:rsidRDefault="003D65F2" w:rsidP="003D65F2">
      <w:pPr>
        <w:pStyle w:val="TEXTONORMAL"/>
        <w:ind w:left="720"/>
        <w:rPr>
          <w:lang w:val="es-MX"/>
        </w:rPr>
      </w:pPr>
    </w:p>
    <w:tbl>
      <w:tblPr>
        <w:tblW w:w="10383" w:type="dxa"/>
        <w:jc w:val="center"/>
        <w:tblCellMar>
          <w:left w:w="70" w:type="dxa"/>
          <w:right w:w="70" w:type="dxa"/>
        </w:tblCellMar>
        <w:tblLook w:val="04A0" w:firstRow="1" w:lastRow="0" w:firstColumn="1" w:lastColumn="0" w:noHBand="0" w:noVBand="1"/>
      </w:tblPr>
      <w:tblGrid>
        <w:gridCol w:w="6519"/>
        <w:gridCol w:w="1932"/>
        <w:gridCol w:w="1932"/>
      </w:tblGrid>
      <w:tr w:rsidR="00056349" w:rsidRPr="00056349" w14:paraId="3AFB447E" w14:textId="77777777" w:rsidTr="00A461CA">
        <w:trPr>
          <w:trHeight w:val="307"/>
          <w:jc w:val="center"/>
        </w:trPr>
        <w:tc>
          <w:tcPr>
            <w:tcW w:w="651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D3B28A6" w14:textId="77777777" w:rsidR="00056349" w:rsidRPr="00056349" w:rsidRDefault="00056349" w:rsidP="00056349">
            <w:pPr>
              <w:spacing w:after="0" w:line="240" w:lineRule="auto"/>
              <w:jc w:val="center"/>
              <w:rPr>
                <w:rFonts w:ascii="Montserrat" w:eastAsia="Times New Roman" w:hAnsi="Montserrat"/>
                <w:b/>
                <w:bCs/>
                <w:color w:val="FFFFFF"/>
                <w:sz w:val="16"/>
                <w:szCs w:val="16"/>
                <w:lang w:val="es-MX" w:eastAsia="es-MX"/>
              </w:rPr>
            </w:pPr>
            <w:r w:rsidRPr="00056349">
              <w:rPr>
                <w:rFonts w:ascii="Montserrat" w:eastAsia="Times New Roman" w:hAnsi="Montserrat"/>
                <w:b/>
                <w:bCs/>
                <w:color w:val="FFFFFF"/>
                <w:sz w:val="16"/>
                <w:szCs w:val="16"/>
                <w:lang w:val="es-MX" w:eastAsia="es-MX"/>
              </w:rPr>
              <w:t>Concepto</w:t>
            </w:r>
          </w:p>
        </w:tc>
        <w:tc>
          <w:tcPr>
            <w:tcW w:w="386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1934CEE" w14:textId="77777777" w:rsidR="00056349" w:rsidRPr="00056349" w:rsidRDefault="00056349" w:rsidP="00056349">
            <w:pPr>
              <w:spacing w:after="0" w:line="240" w:lineRule="auto"/>
              <w:jc w:val="center"/>
              <w:rPr>
                <w:rFonts w:ascii="Montserrat" w:eastAsia="Times New Roman" w:hAnsi="Montserrat"/>
                <w:b/>
                <w:bCs/>
                <w:color w:val="FFFFFF"/>
                <w:sz w:val="16"/>
                <w:szCs w:val="16"/>
                <w:lang w:val="es-MX" w:eastAsia="es-MX"/>
              </w:rPr>
            </w:pPr>
            <w:r w:rsidRPr="00056349">
              <w:rPr>
                <w:rFonts w:ascii="Montserrat" w:eastAsia="Times New Roman" w:hAnsi="Montserrat"/>
                <w:b/>
                <w:bCs/>
                <w:color w:val="FFFFFF"/>
                <w:sz w:val="16"/>
                <w:szCs w:val="16"/>
                <w:lang w:val="es-MX" w:eastAsia="es-MX"/>
              </w:rPr>
              <w:t>Cifras en pesos</w:t>
            </w:r>
          </w:p>
        </w:tc>
      </w:tr>
      <w:tr w:rsidR="00056349" w:rsidRPr="00056349" w14:paraId="4187A031" w14:textId="77777777" w:rsidTr="00A461CA">
        <w:trPr>
          <w:trHeight w:val="307"/>
          <w:jc w:val="center"/>
        </w:trPr>
        <w:tc>
          <w:tcPr>
            <w:tcW w:w="6519" w:type="dxa"/>
            <w:vMerge/>
            <w:tcBorders>
              <w:top w:val="single" w:sz="12" w:space="0" w:color="808080"/>
              <w:left w:val="single" w:sz="12" w:space="0" w:color="FFFFFF"/>
              <w:bottom w:val="double" w:sz="6" w:space="0" w:color="808080"/>
              <w:right w:val="single" w:sz="12" w:space="0" w:color="FFFFFF"/>
            </w:tcBorders>
            <w:vAlign w:val="center"/>
            <w:hideMark/>
          </w:tcPr>
          <w:p w14:paraId="547F5D54" w14:textId="77777777" w:rsidR="00056349" w:rsidRPr="00056349" w:rsidRDefault="00056349" w:rsidP="00056349">
            <w:pPr>
              <w:spacing w:after="0" w:line="240" w:lineRule="auto"/>
              <w:rPr>
                <w:rFonts w:ascii="Montserrat" w:eastAsia="Times New Roman" w:hAnsi="Montserrat"/>
                <w:b/>
                <w:bCs/>
                <w:color w:val="FFFFFF"/>
                <w:sz w:val="16"/>
                <w:szCs w:val="16"/>
                <w:lang w:val="es-MX" w:eastAsia="es-MX"/>
              </w:rPr>
            </w:pPr>
          </w:p>
        </w:tc>
        <w:tc>
          <w:tcPr>
            <w:tcW w:w="1932" w:type="dxa"/>
            <w:tcBorders>
              <w:top w:val="nil"/>
              <w:left w:val="nil"/>
              <w:bottom w:val="double" w:sz="6" w:space="0" w:color="808080"/>
              <w:right w:val="single" w:sz="12" w:space="0" w:color="FFFFFF"/>
            </w:tcBorders>
            <w:shd w:val="clear" w:color="000000" w:fill="D4C19C"/>
            <w:vAlign w:val="center"/>
            <w:hideMark/>
          </w:tcPr>
          <w:p w14:paraId="352C4B43" w14:textId="77777777" w:rsidR="00056349" w:rsidRPr="00056349" w:rsidRDefault="00056349" w:rsidP="00056349">
            <w:pPr>
              <w:spacing w:after="0" w:line="240" w:lineRule="auto"/>
              <w:jc w:val="center"/>
              <w:rPr>
                <w:rFonts w:ascii="Montserrat" w:eastAsia="Times New Roman" w:hAnsi="Montserrat"/>
                <w:b/>
                <w:bCs/>
                <w:color w:val="FFFFFF"/>
                <w:sz w:val="16"/>
                <w:szCs w:val="16"/>
                <w:lang w:val="es-MX" w:eastAsia="es-MX"/>
              </w:rPr>
            </w:pPr>
            <w:r w:rsidRPr="00056349">
              <w:rPr>
                <w:rFonts w:ascii="Montserrat" w:eastAsia="Times New Roman" w:hAnsi="Montserrat"/>
                <w:b/>
                <w:bCs/>
                <w:color w:val="FFFFFF"/>
                <w:sz w:val="16"/>
                <w:szCs w:val="16"/>
                <w:lang w:val="es-MX" w:eastAsia="es-MX"/>
              </w:rPr>
              <w:t>2022</w:t>
            </w:r>
          </w:p>
        </w:tc>
        <w:tc>
          <w:tcPr>
            <w:tcW w:w="1932" w:type="dxa"/>
            <w:tcBorders>
              <w:top w:val="nil"/>
              <w:left w:val="nil"/>
              <w:bottom w:val="double" w:sz="6" w:space="0" w:color="808080"/>
              <w:right w:val="single" w:sz="12" w:space="0" w:color="FFFFFF"/>
            </w:tcBorders>
            <w:shd w:val="clear" w:color="000000" w:fill="D4C19C"/>
            <w:vAlign w:val="center"/>
            <w:hideMark/>
          </w:tcPr>
          <w:p w14:paraId="7F502AD1" w14:textId="77777777" w:rsidR="00056349" w:rsidRPr="00056349" w:rsidRDefault="00056349" w:rsidP="00056349">
            <w:pPr>
              <w:spacing w:after="0" w:line="240" w:lineRule="auto"/>
              <w:jc w:val="center"/>
              <w:rPr>
                <w:rFonts w:ascii="Montserrat" w:eastAsia="Times New Roman" w:hAnsi="Montserrat"/>
                <w:b/>
                <w:bCs/>
                <w:color w:val="FFFFFF"/>
                <w:sz w:val="16"/>
                <w:szCs w:val="16"/>
                <w:lang w:val="es-MX" w:eastAsia="es-MX"/>
              </w:rPr>
            </w:pPr>
            <w:r w:rsidRPr="00056349">
              <w:rPr>
                <w:rFonts w:ascii="Montserrat" w:eastAsia="Times New Roman" w:hAnsi="Montserrat"/>
                <w:b/>
                <w:bCs/>
                <w:color w:val="FFFFFF"/>
                <w:sz w:val="16"/>
                <w:szCs w:val="16"/>
                <w:lang w:val="es-MX" w:eastAsia="es-MX"/>
              </w:rPr>
              <w:t>2021</w:t>
            </w:r>
          </w:p>
        </w:tc>
      </w:tr>
      <w:tr w:rsidR="00056349" w:rsidRPr="00056349" w14:paraId="0464F70D" w14:textId="77777777" w:rsidTr="00A461CA">
        <w:trPr>
          <w:trHeight w:val="293"/>
          <w:jc w:val="center"/>
        </w:trPr>
        <w:tc>
          <w:tcPr>
            <w:tcW w:w="6519" w:type="dxa"/>
            <w:tcBorders>
              <w:top w:val="nil"/>
              <w:left w:val="nil"/>
              <w:bottom w:val="nil"/>
              <w:right w:val="nil"/>
            </w:tcBorders>
            <w:shd w:val="clear" w:color="000000" w:fill="F2F2F2"/>
            <w:vAlign w:val="center"/>
            <w:hideMark/>
          </w:tcPr>
          <w:p w14:paraId="0B1952D8" w14:textId="77777777" w:rsidR="00056349" w:rsidRPr="00056349" w:rsidRDefault="00056349" w:rsidP="00056349">
            <w:pPr>
              <w:spacing w:after="0" w:line="240" w:lineRule="auto"/>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 xml:space="preserve">Cuotas y Aportaciones de Personal </w:t>
            </w:r>
            <w:r w:rsidRPr="00056349">
              <w:rPr>
                <w:rFonts w:ascii="Montserrat" w:eastAsia="Times New Roman" w:hAnsi="Montserrat"/>
                <w:b/>
                <w:bCs/>
                <w:color w:val="000000"/>
                <w:sz w:val="15"/>
                <w:szCs w:val="15"/>
                <w:lang w:val="es-MX" w:eastAsia="es-MX"/>
              </w:rPr>
              <w:t>(2.1.b.1)</w:t>
            </w:r>
          </w:p>
        </w:tc>
        <w:tc>
          <w:tcPr>
            <w:tcW w:w="1932" w:type="dxa"/>
            <w:tcBorders>
              <w:top w:val="nil"/>
              <w:left w:val="nil"/>
              <w:bottom w:val="nil"/>
              <w:right w:val="nil"/>
            </w:tcBorders>
            <w:shd w:val="clear" w:color="000000" w:fill="F2F2F2"/>
            <w:vAlign w:val="center"/>
            <w:hideMark/>
          </w:tcPr>
          <w:p w14:paraId="658BD02E" w14:textId="77777777" w:rsidR="00056349" w:rsidRPr="00056349" w:rsidRDefault="00056349" w:rsidP="00056349">
            <w:pPr>
              <w:spacing w:after="0" w:line="240" w:lineRule="auto"/>
              <w:jc w:val="right"/>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4,316,305,481.8</w:t>
            </w:r>
          </w:p>
        </w:tc>
        <w:tc>
          <w:tcPr>
            <w:tcW w:w="1932" w:type="dxa"/>
            <w:tcBorders>
              <w:top w:val="nil"/>
              <w:left w:val="nil"/>
              <w:bottom w:val="nil"/>
              <w:right w:val="nil"/>
            </w:tcBorders>
            <w:shd w:val="clear" w:color="000000" w:fill="F2F2F2"/>
            <w:vAlign w:val="center"/>
            <w:hideMark/>
          </w:tcPr>
          <w:p w14:paraId="3FBE58E4" w14:textId="77777777" w:rsidR="00056349" w:rsidRPr="00056349" w:rsidRDefault="00056349" w:rsidP="00056349">
            <w:pPr>
              <w:spacing w:after="0" w:line="240" w:lineRule="auto"/>
              <w:jc w:val="right"/>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6,886,434,636.0</w:t>
            </w:r>
          </w:p>
        </w:tc>
      </w:tr>
      <w:tr w:rsidR="00056349" w:rsidRPr="00056349" w14:paraId="5A304AA1" w14:textId="77777777" w:rsidTr="00A461CA">
        <w:trPr>
          <w:trHeight w:val="280"/>
          <w:jc w:val="center"/>
        </w:trPr>
        <w:tc>
          <w:tcPr>
            <w:tcW w:w="6519" w:type="dxa"/>
            <w:tcBorders>
              <w:top w:val="nil"/>
              <w:left w:val="nil"/>
              <w:bottom w:val="nil"/>
              <w:right w:val="nil"/>
            </w:tcBorders>
            <w:shd w:val="clear" w:color="000000" w:fill="F2F2F2"/>
            <w:vAlign w:val="center"/>
            <w:hideMark/>
          </w:tcPr>
          <w:p w14:paraId="3066677E" w14:textId="77777777" w:rsidR="00056349" w:rsidRPr="00056349" w:rsidRDefault="00056349" w:rsidP="00056349">
            <w:pPr>
              <w:spacing w:after="0" w:line="240" w:lineRule="auto"/>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 xml:space="preserve">Contribuciones </w:t>
            </w:r>
            <w:r w:rsidRPr="00056349">
              <w:rPr>
                <w:rFonts w:ascii="Montserrat" w:eastAsia="Times New Roman" w:hAnsi="Montserrat"/>
                <w:b/>
                <w:bCs/>
                <w:color w:val="000000"/>
                <w:sz w:val="15"/>
                <w:szCs w:val="15"/>
                <w:lang w:val="es-MX" w:eastAsia="es-MX"/>
              </w:rPr>
              <w:t>(2.1.b.2)</w:t>
            </w:r>
          </w:p>
        </w:tc>
        <w:tc>
          <w:tcPr>
            <w:tcW w:w="1932" w:type="dxa"/>
            <w:tcBorders>
              <w:top w:val="nil"/>
              <w:left w:val="nil"/>
              <w:bottom w:val="nil"/>
              <w:right w:val="nil"/>
            </w:tcBorders>
            <w:shd w:val="clear" w:color="000000" w:fill="F2F2F2"/>
            <w:vAlign w:val="center"/>
            <w:hideMark/>
          </w:tcPr>
          <w:p w14:paraId="639D2855" w14:textId="77777777" w:rsidR="00056349" w:rsidRPr="00056349" w:rsidRDefault="00056349" w:rsidP="00056349">
            <w:pPr>
              <w:spacing w:after="0" w:line="240" w:lineRule="auto"/>
              <w:jc w:val="right"/>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2,553,946,053.7</w:t>
            </w:r>
          </w:p>
        </w:tc>
        <w:tc>
          <w:tcPr>
            <w:tcW w:w="1932" w:type="dxa"/>
            <w:tcBorders>
              <w:top w:val="nil"/>
              <w:left w:val="nil"/>
              <w:bottom w:val="nil"/>
              <w:right w:val="nil"/>
            </w:tcBorders>
            <w:shd w:val="clear" w:color="000000" w:fill="F2F2F2"/>
            <w:vAlign w:val="center"/>
            <w:hideMark/>
          </w:tcPr>
          <w:p w14:paraId="1F2143BC" w14:textId="77777777" w:rsidR="00056349" w:rsidRPr="00056349" w:rsidRDefault="00056349" w:rsidP="00056349">
            <w:pPr>
              <w:spacing w:after="0" w:line="240" w:lineRule="auto"/>
              <w:jc w:val="right"/>
              <w:rPr>
                <w:rFonts w:ascii="Montserrat" w:eastAsia="Times New Roman" w:hAnsi="Montserrat"/>
                <w:color w:val="000000"/>
                <w:sz w:val="15"/>
                <w:szCs w:val="15"/>
                <w:lang w:val="es-MX" w:eastAsia="es-MX"/>
              </w:rPr>
            </w:pPr>
            <w:r w:rsidRPr="00056349">
              <w:rPr>
                <w:rFonts w:ascii="Montserrat" w:eastAsia="Times New Roman" w:hAnsi="Montserrat"/>
                <w:color w:val="000000"/>
                <w:sz w:val="15"/>
                <w:szCs w:val="15"/>
                <w:lang w:val="es-MX" w:eastAsia="es-MX"/>
              </w:rPr>
              <w:t>4,991,181,622.2</w:t>
            </w:r>
          </w:p>
        </w:tc>
      </w:tr>
      <w:tr w:rsidR="00056349" w:rsidRPr="00056349" w14:paraId="4FF9A121" w14:textId="77777777" w:rsidTr="00A461CA">
        <w:trPr>
          <w:trHeight w:val="293"/>
          <w:jc w:val="center"/>
        </w:trPr>
        <w:tc>
          <w:tcPr>
            <w:tcW w:w="6519" w:type="dxa"/>
            <w:tcBorders>
              <w:top w:val="nil"/>
              <w:left w:val="nil"/>
              <w:bottom w:val="single" w:sz="12" w:space="0" w:color="808080"/>
              <w:right w:val="nil"/>
            </w:tcBorders>
            <w:shd w:val="clear" w:color="000000" w:fill="F2F2F2"/>
            <w:vAlign w:val="center"/>
            <w:hideMark/>
          </w:tcPr>
          <w:p w14:paraId="09ABD955" w14:textId="77777777" w:rsidR="00056349" w:rsidRPr="00056349" w:rsidRDefault="00056349" w:rsidP="00056349">
            <w:pPr>
              <w:spacing w:after="0" w:line="240" w:lineRule="auto"/>
              <w:rPr>
                <w:rFonts w:ascii="Montserrat" w:eastAsia="Times New Roman" w:hAnsi="Montserrat"/>
                <w:b/>
                <w:bCs/>
                <w:color w:val="000000"/>
                <w:sz w:val="15"/>
                <w:szCs w:val="15"/>
                <w:lang w:val="es-MX" w:eastAsia="es-MX"/>
              </w:rPr>
            </w:pPr>
            <w:r w:rsidRPr="00056349">
              <w:rPr>
                <w:rFonts w:ascii="Montserrat" w:eastAsia="Times New Roman" w:hAnsi="Montserrat"/>
                <w:b/>
                <w:bCs/>
                <w:color w:val="000000"/>
                <w:sz w:val="15"/>
                <w:szCs w:val="15"/>
                <w:lang w:val="es-MX" w:eastAsia="es-MX"/>
              </w:rPr>
              <w:t xml:space="preserve">Total Retenciones y Contribuciones por Pagar </w:t>
            </w:r>
          </w:p>
        </w:tc>
        <w:tc>
          <w:tcPr>
            <w:tcW w:w="1932" w:type="dxa"/>
            <w:tcBorders>
              <w:top w:val="nil"/>
              <w:left w:val="nil"/>
              <w:bottom w:val="single" w:sz="12" w:space="0" w:color="808080"/>
              <w:right w:val="nil"/>
            </w:tcBorders>
            <w:shd w:val="clear" w:color="000000" w:fill="F2F2F2"/>
            <w:vAlign w:val="center"/>
            <w:hideMark/>
          </w:tcPr>
          <w:p w14:paraId="20BD595D" w14:textId="77777777" w:rsidR="00056349" w:rsidRPr="00056349" w:rsidRDefault="00056349" w:rsidP="00056349">
            <w:pPr>
              <w:spacing w:after="0" w:line="240" w:lineRule="auto"/>
              <w:jc w:val="right"/>
              <w:rPr>
                <w:rFonts w:ascii="Montserrat" w:eastAsia="Times New Roman" w:hAnsi="Montserrat"/>
                <w:b/>
                <w:bCs/>
                <w:color w:val="000000"/>
                <w:sz w:val="15"/>
                <w:szCs w:val="15"/>
                <w:lang w:val="es-MX" w:eastAsia="es-MX"/>
              </w:rPr>
            </w:pPr>
            <w:r w:rsidRPr="00056349">
              <w:rPr>
                <w:rFonts w:ascii="Montserrat" w:eastAsia="Times New Roman" w:hAnsi="Montserrat"/>
                <w:b/>
                <w:bCs/>
                <w:color w:val="000000"/>
                <w:sz w:val="15"/>
                <w:szCs w:val="15"/>
                <w:lang w:val="es-MX" w:eastAsia="es-MX"/>
              </w:rPr>
              <w:t>6,870,251,535.5</w:t>
            </w:r>
          </w:p>
        </w:tc>
        <w:tc>
          <w:tcPr>
            <w:tcW w:w="1932" w:type="dxa"/>
            <w:tcBorders>
              <w:top w:val="nil"/>
              <w:left w:val="nil"/>
              <w:bottom w:val="single" w:sz="12" w:space="0" w:color="808080"/>
              <w:right w:val="nil"/>
            </w:tcBorders>
            <w:shd w:val="clear" w:color="000000" w:fill="F2F2F2"/>
            <w:vAlign w:val="center"/>
            <w:hideMark/>
          </w:tcPr>
          <w:p w14:paraId="1B1A0334" w14:textId="77777777" w:rsidR="00056349" w:rsidRPr="00056349" w:rsidRDefault="00056349" w:rsidP="00056349">
            <w:pPr>
              <w:spacing w:after="0" w:line="240" w:lineRule="auto"/>
              <w:jc w:val="right"/>
              <w:rPr>
                <w:rFonts w:ascii="Montserrat" w:eastAsia="Times New Roman" w:hAnsi="Montserrat"/>
                <w:b/>
                <w:bCs/>
                <w:color w:val="000000"/>
                <w:sz w:val="15"/>
                <w:szCs w:val="15"/>
                <w:lang w:val="es-MX" w:eastAsia="es-MX"/>
              </w:rPr>
            </w:pPr>
            <w:r w:rsidRPr="00056349">
              <w:rPr>
                <w:rFonts w:ascii="Montserrat" w:eastAsia="Times New Roman" w:hAnsi="Montserrat"/>
                <w:b/>
                <w:bCs/>
                <w:color w:val="000000"/>
                <w:sz w:val="15"/>
                <w:szCs w:val="15"/>
                <w:lang w:val="es-MX" w:eastAsia="es-MX"/>
              </w:rPr>
              <w:t>11,877,616,258.2</w:t>
            </w:r>
          </w:p>
        </w:tc>
      </w:tr>
    </w:tbl>
    <w:p w14:paraId="36A75484" w14:textId="77777777" w:rsidR="00056349" w:rsidRDefault="00056349" w:rsidP="003D65F2">
      <w:pPr>
        <w:pStyle w:val="TEXTONORMAL"/>
        <w:ind w:left="720"/>
        <w:rPr>
          <w:lang w:val="es-MX"/>
        </w:rPr>
      </w:pPr>
    </w:p>
    <w:p w14:paraId="4C622A83" w14:textId="77777777" w:rsidR="00A461CA" w:rsidRPr="000C6CA9" w:rsidRDefault="00A461CA" w:rsidP="003D65F2">
      <w:pPr>
        <w:pStyle w:val="TEXTONORMAL"/>
        <w:ind w:left="720"/>
        <w:rPr>
          <w:lang w:val="es-MX"/>
        </w:rPr>
      </w:pPr>
    </w:p>
    <w:p w14:paraId="6D05C645"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sidRPr="007212D6">
        <w:rPr>
          <w:rFonts w:ascii="Montserrat" w:eastAsia="Times New Roman" w:hAnsi="Montserrat"/>
          <w:b/>
          <w:color w:val="000000"/>
          <w:sz w:val="18"/>
          <w:szCs w:val="15"/>
          <w:lang w:eastAsia="es-MX"/>
        </w:rPr>
        <w:t xml:space="preserve">2.1.b.1 </w:t>
      </w:r>
      <w:r w:rsidRPr="007212D6">
        <w:rPr>
          <w:rFonts w:ascii="Montserrat" w:hAnsi="Montserrat"/>
          <w:sz w:val="18"/>
          <w:szCs w:val="18"/>
          <w:lang w:val="es-MX"/>
        </w:rPr>
        <w:t xml:space="preserve">Corresponde a las </w:t>
      </w:r>
      <w:r>
        <w:rPr>
          <w:rFonts w:ascii="Montserrat" w:hAnsi="Montserrat"/>
          <w:sz w:val="18"/>
          <w:szCs w:val="18"/>
          <w:lang w:val="es-MX"/>
        </w:rPr>
        <w:t>cuotas, aportaciones y descuentos de seguridad social que tiene el Instituto en su carácter de patrón, de conformidad con las disposiciones establecidas en la LSS y Ley de INFONAVIT.</w:t>
      </w:r>
    </w:p>
    <w:p w14:paraId="11942760" w14:textId="77777777" w:rsidR="00A461CA" w:rsidRDefault="00A461CA" w:rsidP="00A461CA">
      <w:pPr>
        <w:spacing w:after="120" w:line="250" w:lineRule="exact"/>
        <w:ind w:left="998"/>
        <w:jc w:val="both"/>
        <w:rPr>
          <w:rFonts w:ascii="Montserrat" w:hAnsi="Montserrat"/>
          <w:sz w:val="18"/>
          <w:szCs w:val="18"/>
          <w:lang w:val="es-MX"/>
        </w:rPr>
      </w:pPr>
    </w:p>
    <w:p w14:paraId="7BB74D56"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Pr>
          <w:rFonts w:ascii="Montserrat" w:eastAsia="Times New Roman" w:hAnsi="Montserrat"/>
          <w:b/>
          <w:color w:val="000000"/>
          <w:sz w:val="18"/>
          <w:szCs w:val="15"/>
          <w:lang w:eastAsia="es-MX"/>
        </w:rPr>
        <w:t>2.1.b.2</w:t>
      </w:r>
      <w:r w:rsidRPr="007212D6">
        <w:rPr>
          <w:rFonts w:ascii="Montserrat" w:eastAsia="Times New Roman" w:hAnsi="Montserrat"/>
          <w:b/>
          <w:color w:val="000000"/>
          <w:sz w:val="18"/>
          <w:szCs w:val="15"/>
          <w:lang w:eastAsia="es-MX"/>
        </w:rPr>
        <w:t xml:space="preserve"> </w:t>
      </w:r>
      <w:r w:rsidRPr="00E85F72">
        <w:rPr>
          <w:rFonts w:ascii="Montserrat" w:hAnsi="Montserrat"/>
          <w:sz w:val="18"/>
          <w:szCs w:val="18"/>
          <w:lang w:val="es-MX"/>
        </w:rPr>
        <w:t>L</w:t>
      </w:r>
      <w:r w:rsidRPr="007212D6">
        <w:rPr>
          <w:rFonts w:ascii="Montserrat" w:hAnsi="Montserrat"/>
          <w:sz w:val="18"/>
          <w:szCs w:val="18"/>
          <w:lang w:val="es-MX"/>
        </w:rPr>
        <w:t xml:space="preserve">as </w:t>
      </w:r>
      <w:r>
        <w:rPr>
          <w:rFonts w:ascii="Montserrat" w:hAnsi="Montserrat"/>
          <w:sz w:val="18"/>
          <w:szCs w:val="18"/>
          <w:lang w:val="es-MX"/>
        </w:rPr>
        <w:t>contribuciones por pagar corresponden, principalmente al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14:paraId="421ED6AD" w14:textId="77777777" w:rsidR="000522B7" w:rsidRDefault="000522B7" w:rsidP="004B1F81">
      <w:pPr>
        <w:spacing w:after="120" w:line="250" w:lineRule="exact"/>
        <w:jc w:val="both"/>
        <w:rPr>
          <w:rFonts w:ascii="Montserrat" w:hAnsi="Montserrat"/>
          <w:sz w:val="18"/>
          <w:szCs w:val="18"/>
          <w:lang w:val="es-MX"/>
        </w:rPr>
      </w:pPr>
    </w:p>
    <w:p w14:paraId="341E7D32" w14:textId="77777777" w:rsidR="009D5C48" w:rsidRDefault="009D5C48" w:rsidP="003F2A12">
      <w:pPr>
        <w:pStyle w:val="TEXTONORMAL"/>
        <w:numPr>
          <w:ilvl w:val="0"/>
          <w:numId w:val="33"/>
        </w:numPr>
        <w:rPr>
          <w:lang w:val="es-MX"/>
        </w:rPr>
      </w:pPr>
      <w:r>
        <w:rPr>
          <w:b/>
          <w:lang w:val="es-MX"/>
        </w:rPr>
        <w:t>2.1.c</w:t>
      </w:r>
      <w:r w:rsidRPr="00A50EDF">
        <w:rPr>
          <w:b/>
          <w:lang w:val="es-MX"/>
        </w:rPr>
        <w:t>)</w:t>
      </w:r>
      <w:r>
        <w:rPr>
          <w:lang w:val="es-MX"/>
        </w:rPr>
        <w:t xml:space="preserve"> </w:t>
      </w:r>
      <w:r w:rsidR="00FB4E81">
        <w:t>Al 30</w:t>
      </w:r>
      <w:r w:rsidR="0044011D">
        <w:t xml:space="preserve"> de </w:t>
      </w:r>
      <w:r w:rsidR="00012B37">
        <w:t>septiembre</w:t>
      </w:r>
      <w:r w:rsidR="0044011D">
        <w:t xml:space="preserve">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el rubro de Otras Cuentas por Pagar a Corto Plazo se integra de la siguiente manera:</w:t>
      </w:r>
    </w:p>
    <w:p w14:paraId="10B5B28C" w14:textId="77777777" w:rsidR="00140C4B" w:rsidRDefault="00140C4B" w:rsidP="00644CC0">
      <w:pPr>
        <w:pStyle w:val="TEXTONORMAL"/>
        <w:rPr>
          <w:lang w:val="es-MX"/>
        </w:rPr>
      </w:pPr>
    </w:p>
    <w:tbl>
      <w:tblPr>
        <w:tblW w:w="10271" w:type="dxa"/>
        <w:jc w:val="center"/>
        <w:tblCellMar>
          <w:left w:w="70" w:type="dxa"/>
          <w:right w:w="70" w:type="dxa"/>
        </w:tblCellMar>
        <w:tblLook w:val="04A0" w:firstRow="1" w:lastRow="0" w:firstColumn="1" w:lastColumn="0" w:noHBand="0" w:noVBand="1"/>
      </w:tblPr>
      <w:tblGrid>
        <w:gridCol w:w="6449"/>
        <w:gridCol w:w="1911"/>
        <w:gridCol w:w="1911"/>
      </w:tblGrid>
      <w:tr w:rsidR="00140C4B" w:rsidRPr="00140C4B" w14:paraId="4BCD517C" w14:textId="77777777" w:rsidTr="00140C4B">
        <w:trPr>
          <w:trHeight w:val="267"/>
          <w:jc w:val="center"/>
        </w:trPr>
        <w:tc>
          <w:tcPr>
            <w:tcW w:w="644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58F4DFF" w14:textId="77777777" w:rsidR="00140C4B" w:rsidRPr="00140C4B" w:rsidRDefault="00140C4B" w:rsidP="00140C4B">
            <w:pPr>
              <w:spacing w:after="0" w:line="240" w:lineRule="auto"/>
              <w:jc w:val="center"/>
              <w:rPr>
                <w:rFonts w:ascii="Montserrat" w:eastAsia="Times New Roman" w:hAnsi="Montserrat"/>
                <w:b/>
                <w:bCs/>
                <w:color w:val="FFFFFF"/>
                <w:sz w:val="16"/>
                <w:szCs w:val="16"/>
                <w:lang w:val="es-MX" w:eastAsia="es-MX"/>
              </w:rPr>
            </w:pPr>
            <w:r w:rsidRPr="00140C4B">
              <w:rPr>
                <w:rFonts w:ascii="Montserrat" w:eastAsia="Times New Roman" w:hAnsi="Montserrat"/>
                <w:b/>
                <w:bCs/>
                <w:color w:val="FFFFFF"/>
                <w:sz w:val="16"/>
                <w:szCs w:val="16"/>
                <w:lang w:val="es-MX" w:eastAsia="es-MX"/>
              </w:rPr>
              <w:t>Concepto</w:t>
            </w:r>
          </w:p>
        </w:tc>
        <w:tc>
          <w:tcPr>
            <w:tcW w:w="382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5AFFEC4" w14:textId="77777777" w:rsidR="00140C4B" w:rsidRPr="00140C4B" w:rsidRDefault="00140C4B" w:rsidP="00140C4B">
            <w:pPr>
              <w:spacing w:after="0" w:line="240" w:lineRule="auto"/>
              <w:jc w:val="center"/>
              <w:rPr>
                <w:rFonts w:ascii="Montserrat" w:eastAsia="Times New Roman" w:hAnsi="Montserrat"/>
                <w:b/>
                <w:bCs/>
                <w:color w:val="FFFFFF"/>
                <w:sz w:val="16"/>
                <w:szCs w:val="16"/>
                <w:lang w:val="es-MX" w:eastAsia="es-MX"/>
              </w:rPr>
            </w:pPr>
            <w:r w:rsidRPr="00140C4B">
              <w:rPr>
                <w:rFonts w:ascii="Montserrat" w:eastAsia="Times New Roman" w:hAnsi="Montserrat"/>
                <w:b/>
                <w:bCs/>
                <w:color w:val="FFFFFF"/>
                <w:sz w:val="16"/>
                <w:szCs w:val="16"/>
                <w:lang w:val="es-MX" w:eastAsia="es-MX"/>
              </w:rPr>
              <w:t>Cifras en pesos</w:t>
            </w:r>
          </w:p>
        </w:tc>
      </w:tr>
      <w:tr w:rsidR="00140C4B" w:rsidRPr="00140C4B" w14:paraId="6216F354" w14:textId="77777777" w:rsidTr="00140C4B">
        <w:trPr>
          <w:trHeight w:val="267"/>
          <w:jc w:val="center"/>
        </w:trPr>
        <w:tc>
          <w:tcPr>
            <w:tcW w:w="6449" w:type="dxa"/>
            <w:vMerge/>
            <w:tcBorders>
              <w:top w:val="single" w:sz="12" w:space="0" w:color="808080"/>
              <w:left w:val="single" w:sz="12" w:space="0" w:color="FFFFFF"/>
              <w:bottom w:val="double" w:sz="6" w:space="0" w:color="808080"/>
              <w:right w:val="single" w:sz="12" w:space="0" w:color="FFFFFF"/>
            </w:tcBorders>
            <w:vAlign w:val="center"/>
            <w:hideMark/>
          </w:tcPr>
          <w:p w14:paraId="1EBBE94D" w14:textId="77777777" w:rsidR="00140C4B" w:rsidRPr="00140C4B" w:rsidRDefault="00140C4B" w:rsidP="00140C4B">
            <w:pPr>
              <w:spacing w:after="0" w:line="240" w:lineRule="auto"/>
              <w:rPr>
                <w:rFonts w:ascii="Montserrat" w:eastAsia="Times New Roman" w:hAnsi="Montserrat"/>
                <w:b/>
                <w:bCs/>
                <w:color w:val="FFFFFF"/>
                <w:sz w:val="16"/>
                <w:szCs w:val="16"/>
                <w:lang w:val="es-MX" w:eastAsia="es-MX"/>
              </w:rPr>
            </w:pPr>
          </w:p>
        </w:tc>
        <w:tc>
          <w:tcPr>
            <w:tcW w:w="1911" w:type="dxa"/>
            <w:tcBorders>
              <w:top w:val="nil"/>
              <w:left w:val="nil"/>
              <w:bottom w:val="double" w:sz="6" w:space="0" w:color="808080"/>
              <w:right w:val="single" w:sz="12" w:space="0" w:color="FFFFFF"/>
            </w:tcBorders>
            <w:shd w:val="clear" w:color="000000" w:fill="D4C19C"/>
            <w:vAlign w:val="center"/>
            <w:hideMark/>
          </w:tcPr>
          <w:p w14:paraId="29F1EDFD" w14:textId="77777777" w:rsidR="00140C4B" w:rsidRPr="00140C4B" w:rsidRDefault="00140C4B" w:rsidP="00140C4B">
            <w:pPr>
              <w:spacing w:after="0" w:line="240" w:lineRule="auto"/>
              <w:jc w:val="center"/>
              <w:rPr>
                <w:rFonts w:ascii="Montserrat" w:eastAsia="Times New Roman" w:hAnsi="Montserrat"/>
                <w:b/>
                <w:bCs/>
                <w:color w:val="FFFFFF"/>
                <w:sz w:val="16"/>
                <w:szCs w:val="16"/>
                <w:lang w:val="es-MX" w:eastAsia="es-MX"/>
              </w:rPr>
            </w:pPr>
            <w:r w:rsidRPr="00140C4B">
              <w:rPr>
                <w:rFonts w:ascii="Montserrat" w:eastAsia="Times New Roman" w:hAnsi="Montserrat"/>
                <w:b/>
                <w:bCs/>
                <w:color w:val="FFFFFF"/>
                <w:sz w:val="16"/>
                <w:szCs w:val="16"/>
                <w:lang w:val="es-MX" w:eastAsia="es-MX"/>
              </w:rPr>
              <w:t>2022</w:t>
            </w:r>
          </w:p>
        </w:tc>
        <w:tc>
          <w:tcPr>
            <w:tcW w:w="1911" w:type="dxa"/>
            <w:tcBorders>
              <w:top w:val="nil"/>
              <w:left w:val="nil"/>
              <w:bottom w:val="double" w:sz="6" w:space="0" w:color="808080"/>
              <w:right w:val="single" w:sz="12" w:space="0" w:color="FFFFFF"/>
            </w:tcBorders>
            <w:shd w:val="clear" w:color="000000" w:fill="D4C19C"/>
            <w:vAlign w:val="center"/>
            <w:hideMark/>
          </w:tcPr>
          <w:p w14:paraId="4143D389" w14:textId="77777777" w:rsidR="00140C4B" w:rsidRPr="00140C4B" w:rsidRDefault="00140C4B" w:rsidP="00140C4B">
            <w:pPr>
              <w:spacing w:after="0" w:line="240" w:lineRule="auto"/>
              <w:jc w:val="center"/>
              <w:rPr>
                <w:rFonts w:ascii="Montserrat" w:eastAsia="Times New Roman" w:hAnsi="Montserrat"/>
                <w:b/>
                <w:bCs/>
                <w:color w:val="FFFFFF"/>
                <w:sz w:val="16"/>
                <w:szCs w:val="16"/>
                <w:lang w:val="es-MX" w:eastAsia="es-MX"/>
              </w:rPr>
            </w:pPr>
            <w:r w:rsidRPr="00140C4B">
              <w:rPr>
                <w:rFonts w:ascii="Montserrat" w:eastAsia="Times New Roman" w:hAnsi="Montserrat"/>
                <w:b/>
                <w:bCs/>
                <w:color w:val="FFFFFF"/>
                <w:sz w:val="16"/>
                <w:szCs w:val="16"/>
                <w:lang w:val="es-MX" w:eastAsia="es-MX"/>
              </w:rPr>
              <w:t>2021</w:t>
            </w:r>
          </w:p>
        </w:tc>
      </w:tr>
      <w:tr w:rsidR="00140C4B" w:rsidRPr="00140C4B" w14:paraId="20AA2D44" w14:textId="77777777" w:rsidTr="00140C4B">
        <w:trPr>
          <w:trHeight w:val="255"/>
          <w:jc w:val="center"/>
        </w:trPr>
        <w:tc>
          <w:tcPr>
            <w:tcW w:w="6449" w:type="dxa"/>
            <w:tcBorders>
              <w:top w:val="nil"/>
              <w:left w:val="nil"/>
              <w:bottom w:val="nil"/>
              <w:right w:val="nil"/>
            </w:tcBorders>
            <w:shd w:val="clear" w:color="000000" w:fill="F2F2F2"/>
            <w:vAlign w:val="center"/>
            <w:hideMark/>
          </w:tcPr>
          <w:p w14:paraId="2581BF13" w14:textId="77777777" w:rsidR="00140C4B" w:rsidRPr="00140C4B" w:rsidRDefault="00140C4B" w:rsidP="00140C4B">
            <w:pPr>
              <w:spacing w:after="0" w:line="240" w:lineRule="auto"/>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Seguro de Bienes Patrimoniales y No Patrimoniales</w:t>
            </w:r>
          </w:p>
        </w:tc>
        <w:tc>
          <w:tcPr>
            <w:tcW w:w="1911" w:type="dxa"/>
            <w:tcBorders>
              <w:top w:val="nil"/>
              <w:left w:val="nil"/>
              <w:bottom w:val="nil"/>
              <w:right w:val="nil"/>
            </w:tcBorders>
            <w:shd w:val="clear" w:color="000000" w:fill="F2F2F2"/>
            <w:vAlign w:val="center"/>
            <w:hideMark/>
          </w:tcPr>
          <w:p w14:paraId="7D8C0268"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6,137,627.7</w:t>
            </w:r>
          </w:p>
        </w:tc>
        <w:tc>
          <w:tcPr>
            <w:tcW w:w="1911" w:type="dxa"/>
            <w:tcBorders>
              <w:top w:val="nil"/>
              <w:left w:val="nil"/>
              <w:bottom w:val="nil"/>
              <w:right w:val="nil"/>
            </w:tcBorders>
            <w:shd w:val="clear" w:color="000000" w:fill="F2F2F2"/>
            <w:vAlign w:val="center"/>
            <w:hideMark/>
          </w:tcPr>
          <w:p w14:paraId="7F454D0F"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0.0</w:t>
            </w:r>
          </w:p>
        </w:tc>
      </w:tr>
      <w:tr w:rsidR="00140C4B" w:rsidRPr="00140C4B" w14:paraId="6C443027" w14:textId="77777777" w:rsidTr="00140C4B">
        <w:trPr>
          <w:trHeight w:val="244"/>
          <w:jc w:val="center"/>
        </w:trPr>
        <w:tc>
          <w:tcPr>
            <w:tcW w:w="6449" w:type="dxa"/>
            <w:tcBorders>
              <w:top w:val="nil"/>
              <w:left w:val="nil"/>
              <w:bottom w:val="nil"/>
              <w:right w:val="nil"/>
            </w:tcBorders>
            <w:shd w:val="clear" w:color="000000" w:fill="F2F2F2"/>
            <w:vAlign w:val="center"/>
            <w:hideMark/>
          </w:tcPr>
          <w:p w14:paraId="3B974413" w14:textId="77777777" w:rsidR="00140C4B" w:rsidRPr="00140C4B" w:rsidRDefault="00140C4B" w:rsidP="00140C4B">
            <w:pPr>
              <w:spacing w:after="0" w:line="240" w:lineRule="auto"/>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Provisión de Laudos y Convenios</w:t>
            </w:r>
          </w:p>
        </w:tc>
        <w:tc>
          <w:tcPr>
            <w:tcW w:w="1911" w:type="dxa"/>
            <w:tcBorders>
              <w:top w:val="nil"/>
              <w:left w:val="nil"/>
              <w:bottom w:val="nil"/>
              <w:right w:val="nil"/>
            </w:tcBorders>
            <w:shd w:val="clear" w:color="000000" w:fill="F2F2F2"/>
            <w:vAlign w:val="center"/>
            <w:hideMark/>
          </w:tcPr>
          <w:p w14:paraId="351B537C"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11,975,546.6</w:t>
            </w:r>
          </w:p>
        </w:tc>
        <w:tc>
          <w:tcPr>
            <w:tcW w:w="1911" w:type="dxa"/>
            <w:tcBorders>
              <w:top w:val="nil"/>
              <w:left w:val="nil"/>
              <w:bottom w:val="nil"/>
              <w:right w:val="nil"/>
            </w:tcBorders>
            <w:shd w:val="clear" w:color="000000" w:fill="F2F2F2"/>
            <w:vAlign w:val="center"/>
            <w:hideMark/>
          </w:tcPr>
          <w:p w14:paraId="745E99EE"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0.0</w:t>
            </w:r>
          </w:p>
        </w:tc>
      </w:tr>
      <w:tr w:rsidR="00140C4B" w:rsidRPr="00140C4B" w14:paraId="4621F2FF" w14:textId="77777777" w:rsidTr="00140C4B">
        <w:trPr>
          <w:trHeight w:val="244"/>
          <w:jc w:val="center"/>
        </w:trPr>
        <w:tc>
          <w:tcPr>
            <w:tcW w:w="6449" w:type="dxa"/>
            <w:tcBorders>
              <w:top w:val="nil"/>
              <w:left w:val="nil"/>
              <w:bottom w:val="nil"/>
              <w:right w:val="nil"/>
            </w:tcBorders>
            <w:shd w:val="clear" w:color="000000" w:fill="F2F2F2"/>
            <w:vAlign w:val="center"/>
            <w:hideMark/>
          </w:tcPr>
          <w:p w14:paraId="0EF82934" w14:textId="77777777" w:rsidR="00140C4B" w:rsidRPr="00140C4B" w:rsidRDefault="00140C4B" w:rsidP="00140C4B">
            <w:pPr>
              <w:spacing w:after="0" w:line="240" w:lineRule="auto"/>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Rentas Vitalicias</w:t>
            </w:r>
          </w:p>
        </w:tc>
        <w:tc>
          <w:tcPr>
            <w:tcW w:w="1911" w:type="dxa"/>
            <w:tcBorders>
              <w:top w:val="nil"/>
              <w:left w:val="nil"/>
              <w:bottom w:val="nil"/>
              <w:right w:val="nil"/>
            </w:tcBorders>
            <w:shd w:val="clear" w:color="000000" w:fill="F2F2F2"/>
            <w:vAlign w:val="center"/>
            <w:hideMark/>
          </w:tcPr>
          <w:p w14:paraId="61516C0E"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2,224,277.8</w:t>
            </w:r>
          </w:p>
        </w:tc>
        <w:tc>
          <w:tcPr>
            <w:tcW w:w="1911" w:type="dxa"/>
            <w:tcBorders>
              <w:top w:val="nil"/>
              <w:left w:val="nil"/>
              <w:bottom w:val="nil"/>
              <w:right w:val="nil"/>
            </w:tcBorders>
            <w:shd w:val="clear" w:color="000000" w:fill="F2F2F2"/>
            <w:vAlign w:val="center"/>
            <w:hideMark/>
          </w:tcPr>
          <w:p w14:paraId="0BAB4FD2"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0.0</w:t>
            </w:r>
          </w:p>
        </w:tc>
      </w:tr>
      <w:tr w:rsidR="00140C4B" w:rsidRPr="00140C4B" w14:paraId="1ABF2E58" w14:textId="77777777" w:rsidTr="00140C4B">
        <w:trPr>
          <w:trHeight w:val="244"/>
          <w:jc w:val="center"/>
        </w:trPr>
        <w:tc>
          <w:tcPr>
            <w:tcW w:w="6449" w:type="dxa"/>
            <w:tcBorders>
              <w:top w:val="nil"/>
              <w:left w:val="nil"/>
              <w:bottom w:val="nil"/>
              <w:right w:val="nil"/>
            </w:tcBorders>
            <w:shd w:val="clear" w:color="000000" w:fill="F2F2F2"/>
            <w:vAlign w:val="center"/>
            <w:hideMark/>
          </w:tcPr>
          <w:p w14:paraId="1F73F3F6" w14:textId="77777777" w:rsidR="00140C4B" w:rsidRPr="00140C4B" w:rsidRDefault="00140C4B" w:rsidP="00140C4B">
            <w:pPr>
              <w:spacing w:after="0" w:line="240" w:lineRule="auto"/>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 xml:space="preserve">Devolución de Aportaciones de Seguridad Social al Gobierno Federal </w:t>
            </w:r>
          </w:p>
        </w:tc>
        <w:tc>
          <w:tcPr>
            <w:tcW w:w="1911" w:type="dxa"/>
            <w:tcBorders>
              <w:top w:val="nil"/>
              <w:left w:val="nil"/>
              <w:bottom w:val="nil"/>
              <w:right w:val="nil"/>
            </w:tcBorders>
            <w:shd w:val="clear" w:color="000000" w:fill="F2F2F2"/>
            <w:vAlign w:val="center"/>
            <w:hideMark/>
          </w:tcPr>
          <w:p w14:paraId="3E62D73E"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0.0</w:t>
            </w:r>
          </w:p>
        </w:tc>
        <w:tc>
          <w:tcPr>
            <w:tcW w:w="1911" w:type="dxa"/>
            <w:tcBorders>
              <w:top w:val="nil"/>
              <w:left w:val="nil"/>
              <w:bottom w:val="nil"/>
              <w:right w:val="nil"/>
            </w:tcBorders>
            <w:shd w:val="clear" w:color="000000" w:fill="F2F2F2"/>
            <w:vAlign w:val="center"/>
            <w:hideMark/>
          </w:tcPr>
          <w:p w14:paraId="70E84C2C"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1,551,678,721.2</w:t>
            </w:r>
          </w:p>
        </w:tc>
      </w:tr>
      <w:tr w:rsidR="00140C4B" w:rsidRPr="00140C4B" w14:paraId="00B7EB50" w14:textId="77777777" w:rsidTr="00140C4B">
        <w:trPr>
          <w:trHeight w:val="244"/>
          <w:jc w:val="center"/>
        </w:trPr>
        <w:tc>
          <w:tcPr>
            <w:tcW w:w="6449" w:type="dxa"/>
            <w:tcBorders>
              <w:top w:val="nil"/>
              <w:left w:val="nil"/>
              <w:bottom w:val="nil"/>
              <w:right w:val="nil"/>
            </w:tcBorders>
            <w:shd w:val="clear" w:color="000000" w:fill="F2F2F2"/>
            <w:vAlign w:val="center"/>
            <w:hideMark/>
          </w:tcPr>
          <w:p w14:paraId="3361B146" w14:textId="77777777" w:rsidR="00140C4B" w:rsidRPr="00140C4B" w:rsidRDefault="00140C4B" w:rsidP="00140C4B">
            <w:pPr>
              <w:spacing w:after="0" w:line="240" w:lineRule="auto"/>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 xml:space="preserve">Por Préstamos a Pensionados </w:t>
            </w:r>
            <w:r w:rsidRPr="00140C4B">
              <w:rPr>
                <w:rFonts w:ascii="Montserrat" w:eastAsia="Times New Roman" w:hAnsi="Montserrat"/>
                <w:b/>
                <w:bCs/>
                <w:color w:val="000000"/>
                <w:sz w:val="15"/>
                <w:szCs w:val="15"/>
                <w:lang w:val="es-MX" w:eastAsia="es-MX"/>
              </w:rPr>
              <w:t>(2.1.c.1)</w:t>
            </w:r>
          </w:p>
        </w:tc>
        <w:tc>
          <w:tcPr>
            <w:tcW w:w="1911" w:type="dxa"/>
            <w:tcBorders>
              <w:top w:val="nil"/>
              <w:left w:val="nil"/>
              <w:bottom w:val="nil"/>
              <w:right w:val="nil"/>
            </w:tcBorders>
            <w:shd w:val="clear" w:color="000000" w:fill="F2F2F2"/>
            <w:vAlign w:val="center"/>
            <w:hideMark/>
          </w:tcPr>
          <w:p w14:paraId="45DA92F6"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0.0</w:t>
            </w:r>
          </w:p>
        </w:tc>
        <w:tc>
          <w:tcPr>
            <w:tcW w:w="1911" w:type="dxa"/>
            <w:tcBorders>
              <w:top w:val="nil"/>
              <w:left w:val="nil"/>
              <w:bottom w:val="nil"/>
              <w:right w:val="nil"/>
            </w:tcBorders>
            <w:shd w:val="clear" w:color="000000" w:fill="F2F2F2"/>
            <w:vAlign w:val="center"/>
            <w:hideMark/>
          </w:tcPr>
          <w:p w14:paraId="6D44BA9C" w14:textId="77777777" w:rsidR="00140C4B" w:rsidRPr="00140C4B" w:rsidRDefault="00140C4B" w:rsidP="00140C4B">
            <w:pPr>
              <w:spacing w:after="0" w:line="240" w:lineRule="auto"/>
              <w:jc w:val="right"/>
              <w:rPr>
                <w:rFonts w:ascii="Montserrat" w:eastAsia="Times New Roman" w:hAnsi="Montserrat"/>
                <w:color w:val="000000"/>
                <w:sz w:val="15"/>
                <w:szCs w:val="15"/>
                <w:lang w:val="es-MX" w:eastAsia="es-MX"/>
              </w:rPr>
            </w:pPr>
            <w:r w:rsidRPr="00140C4B">
              <w:rPr>
                <w:rFonts w:ascii="Montserrat" w:eastAsia="Times New Roman" w:hAnsi="Montserrat"/>
                <w:color w:val="000000"/>
                <w:sz w:val="15"/>
                <w:szCs w:val="15"/>
                <w:lang w:val="es-MX" w:eastAsia="es-MX"/>
              </w:rPr>
              <w:t>8,545,509.5</w:t>
            </w:r>
          </w:p>
        </w:tc>
      </w:tr>
      <w:tr w:rsidR="00140C4B" w:rsidRPr="00140C4B" w14:paraId="70169BE5" w14:textId="77777777" w:rsidTr="00140C4B">
        <w:trPr>
          <w:trHeight w:val="255"/>
          <w:jc w:val="center"/>
        </w:trPr>
        <w:tc>
          <w:tcPr>
            <w:tcW w:w="6449" w:type="dxa"/>
            <w:tcBorders>
              <w:top w:val="nil"/>
              <w:left w:val="nil"/>
              <w:bottom w:val="single" w:sz="12" w:space="0" w:color="808080"/>
              <w:right w:val="nil"/>
            </w:tcBorders>
            <w:shd w:val="clear" w:color="000000" w:fill="F2F2F2"/>
            <w:vAlign w:val="center"/>
            <w:hideMark/>
          </w:tcPr>
          <w:p w14:paraId="2ACAFA43" w14:textId="77777777" w:rsidR="00140C4B" w:rsidRPr="00140C4B" w:rsidRDefault="00140C4B" w:rsidP="00140C4B">
            <w:pPr>
              <w:spacing w:after="0" w:line="240" w:lineRule="auto"/>
              <w:rPr>
                <w:rFonts w:ascii="Montserrat" w:eastAsia="Times New Roman" w:hAnsi="Montserrat"/>
                <w:b/>
                <w:bCs/>
                <w:color w:val="000000"/>
                <w:sz w:val="15"/>
                <w:szCs w:val="15"/>
                <w:lang w:val="es-MX" w:eastAsia="es-MX"/>
              </w:rPr>
            </w:pPr>
            <w:r w:rsidRPr="00140C4B">
              <w:rPr>
                <w:rFonts w:ascii="Montserrat" w:eastAsia="Times New Roman" w:hAnsi="Montserrat"/>
                <w:b/>
                <w:bCs/>
                <w:color w:val="000000"/>
                <w:sz w:val="15"/>
                <w:szCs w:val="15"/>
                <w:lang w:val="es-MX" w:eastAsia="es-MX"/>
              </w:rPr>
              <w:t>Total Otras Cuentas por Pagar a Corto Plazo</w:t>
            </w:r>
          </w:p>
        </w:tc>
        <w:tc>
          <w:tcPr>
            <w:tcW w:w="1911" w:type="dxa"/>
            <w:tcBorders>
              <w:top w:val="nil"/>
              <w:left w:val="nil"/>
              <w:bottom w:val="single" w:sz="12" w:space="0" w:color="808080"/>
              <w:right w:val="nil"/>
            </w:tcBorders>
            <w:shd w:val="clear" w:color="000000" w:fill="F2F2F2"/>
            <w:vAlign w:val="center"/>
            <w:hideMark/>
          </w:tcPr>
          <w:p w14:paraId="47EF9789" w14:textId="77777777" w:rsidR="00140C4B" w:rsidRPr="00140C4B" w:rsidRDefault="00140C4B" w:rsidP="00140C4B">
            <w:pPr>
              <w:spacing w:after="0" w:line="240" w:lineRule="auto"/>
              <w:jc w:val="right"/>
              <w:rPr>
                <w:rFonts w:ascii="Montserrat" w:eastAsia="Times New Roman" w:hAnsi="Montserrat"/>
                <w:b/>
                <w:bCs/>
                <w:color w:val="000000"/>
                <w:sz w:val="15"/>
                <w:szCs w:val="15"/>
                <w:lang w:val="es-MX" w:eastAsia="es-MX"/>
              </w:rPr>
            </w:pPr>
            <w:r w:rsidRPr="00140C4B">
              <w:rPr>
                <w:rFonts w:ascii="Montserrat" w:eastAsia="Times New Roman" w:hAnsi="Montserrat"/>
                <w:b/>
                <w:bCs/>
                <w:color w:val="000000"/>
                <w:sz w:val="15"/>
                <w:szCs w:val="15"/>
                <w:lang w:val="es-MX" w:eastAsia="es-MX"/>
              </w:rPr>
              <w:t>20,337,452.1</w:t>
            </w:r>
          </w:p>
        </w:tc>
        <w:tc>
          <w:tcPr>
            <w:tcW w:w="1911" w:type="dxa"/>
            <w:tcBorders>
              <w:top w:val="nil"/>
              <w:left w:val="nil"/>
              <w:bottom w:val="single" w:sz="12" w:space="0" w:color="808080"/>
              <w:right w:val="nil"/>
            </w:tcBorders>
            <w:shd w:val="clear" w:color="000000" w:fill="F2F2F2"/>
            <w:vAlign w:val="center"/>
            <w:hideMark/>
          </w:tcPr>
          <w:p w14:paraId="4D9534C7" w14:textId="77777777" w:rsidR="00140C4B" w:rsidRPr="00140C4B" w:rsidRDefault="00140C4B" w:rsidP="00140C4B">
            <w:pPr>
              <w:spacing w:after="0" w:line="240" w:lineRule="auto"/>
              <w:jc w:val="right"/>
              <w:rPr>
                <w:rFonts w:ascii="Montserrat" w:eastAsia="Times New Roman" w:hAnsi="Montserrat"/>
                <w:b/>
                <w:bCs/>
                <w:color w:val="000000"/>
                <w:sz w:val="15"/>
                <w:szCs w:val="15"/>
                <w:lang w:val="es-MX" w:eastAsia="es-MX"/>
              </w:rPr>
            </w:pPr>
            <w:r w:rsidRPr="00140C4B">
              <w:rPr>
                <w:rFonts w:ascii="Montserrat" w:eastAsia="Times New Roman" w:hAnsi="Montserrat"/>
                <w:b/>
                <w:bCs/>
                <w:color w:val="000000"/>
                <w:sz w:val="15"/>
                <w:szCs w:val="15"/>
                <w:lang w:val="es-MX" w:eastAsia="es-MX"/>
              </w:rPr>
              <w:t>1,560,224,230.7</w:t>
            </w:r>
          </w:p>
        </w:tc>
      </w:tr>
    </w:tbl>
    <w:p w14:paraId="2E6785B8" w14:textId="77777777" w:rsidR="00140C4B" w:rsidRDefault="00140C4B" w:rsidP="00644CC0">
      <w:pPr>
        <w:pStyle w:val="TEXTONORMAL"/>
        <w:rPr>
          <w:lang w:val="es-MX"/>
        </w:rPr>
      </w:pPr>
    </w:p>
    <w:p w14:paraId="5481C27A" w14:textId="77777777" w:rsidR="00A461CA" w:rsidRDefault="00A461CA" w:rsidP="00644CC0">
      <w:pPr>
        <w:pStyle w:val="TEXTONORMAL"/>
        <w:rPr>
          <w:lang w:val="es-MX"/>
        </w:rPr>
      </w:pPr>
    </w:p>
    <w:p w14:paraId="110EABF9" w14:textId="77777777" w:rsidR="009D5C48" w:rsidRPr="00094CF7" w:rsidRDefault="009D5C48" w:rsidP="003F2A12">
      <w:pPr>
        <w:pStyle w:val="TEXTONORMAL"/>
        <w:numPr>
          <w:ilvl w:val="0"/>
          <w:numId w:val="34"/>
        </w:numPr>
        <w:ind w:left="998" w:hanging="284"/>
      </w:pPr>
      <w:r w:rsidRPr="00094CF7">
        <w:rPr>
          <w:rFonts w:eastAsia="Times New Roman"/>
          <w:b/>
          <w:color w:val="000000"/>
          <w:lang w:eastAsia="es-MX"/>
        </w:rPr>
        <w:lastRenderedPageBreak/>
        <w:t>2.1.c.</w:t>
      </w:r>
      <w:r w:rsidR="00644CC0" w:rsidRPr="00094CF7">
        <w:rPr>
          <w:rFonts w:eastAsia="Times New Roman"/>
          <w:b/>
          <w:color w:val="000000"/>
          <w:lang w:eastAsia="es-MX"/>
        </w:rPr>
        <w:t>1</w:t>
      </w:r>
      <w:r w:rsidRPr="00094CF7">
        <w:rPr>
          <w:rFonts w:eastAsia="Times New Roman"/>
          <w:b/>
          <w:color w:val="000000"/>
          <w:lang w:eastAsia="es-MX"/>
        </w:rPr>
        <w:t>)</w:t>
      </w:r>
      <w:r w:rsidRPr="00094CF7">
        <w:rPr>
          <w:rFonts w:eastAsia="Times New Roman"/>
          <w:color w:val="000000"/>
          <w:sz w:val="15"/>
          <w:szCs w:val="15"/>
          <w:lang w:eastAsia="es-MX"/>
        </w:rPr>
        <w:t xml:space="preserve"> </w:t>
      </w:r>
      <w:r w:rsidR="00A461CA" w:rsidRPr="00094CF7">
        <w:rPr>
          <w:lang w:val="es-MX"/>
        </w:rPr>
        <w:t xml:space="preserve">Al 30 de </w:t>
      </w:r>
      <w:r w:rsidR="00A461CA">
        <w:rPr>
          <w:lang w:val="es-MX"/>
        </w:rPr>
        <w:t>septiembre</w:t>
      </w:r>
      <w:r w:rsidR="00A461CA" w:rsidRPr="00094CF7">
        <w:rPr>
          <w:lang w:val="es-MX"/>
        </w:rPr>
        <w:t xml:space="preserve"> de 2022 dichas retenciones fueron pagadas dentro del mismo periodo.</w:t>
      </w:r>
      <w:r w:rsidR="00A461CA">
        <w:rPr>
          <w:lang w:val="es-MX"/>
        </w:rPr>
        <w:t xml:space="preserve"> </w:t>
      </w:r>
      <w:r w:rsidRPr="00094CF7">
        <w:rPr>
          <w:lang w:val="es-MX"/>
        </w:rPr>
        <w:t xml:space="preserve">El saldo al 31 de diciembre de 2021 por 8,545,509.5 pesos deriva de las retenciones realizadas a los pensionados con objeto de cubrir los préstamos otorgados por casas comerciales. </w:t>
      </w:r>
    </w:p>
    <w:p w14:paraId="7AE82746" w14:textId="77777777" w:rsidR="003F53EE" w:rsidRDefault="003F53EE" w:rsidP="000522B7">
      <w:pPr>
        <w:pStyle w:val="TEXTONORMAL"/>
      </w:pPr>
    </w:p>
    <w:p w14:paraId="3737B4FF" w14:textId="77777777" w:rsidR="009D5C48" w:rsidRDefault="009D5C48" w:rsidP="003F2A12">
      <w:pPr>
        <w:pStyle w:val="TEXTONORMAL"/>
        <w:numPr>
          <w:ilvl w:val="0"/>
          <w:numId w:val="33"/>
        </w:numPr>
        <w:rPr>
          <w:lang w:val="es-MX"/>
        </w:rPr>
      </w:pPr>
      <w:r>
        <w:rPr>
          <w:b/>
          <w:lang w:val="es-MX"/>
        </w:rPr>
        <w:t>2.1.d</w:t>
      </w:r>
      <w:r w:rsidRPr="00A50EDF">
        <w:rPr>
          <w:b/>
          <w:lang w:val="es-MX"/>
        </w:rPr>
        <w:t>)</w:t>
      </w:r>
      <w:r>
        <w:rPr>
          <w:lang w:val="es-MX"/>
        </w:rPr>
        <w:t xml:space="preserve"> </w:t>
      </w:r>
      <w:r w:rsidR="00E22A7C">
        <w:t>Al 30 de septiembre</w:t>
      </w:r>
      <w:r w:rsidR="008B0428">
        <w:t xml:space="preserve"> de 2022</w:t>
      </w:r>
      <w:r w:rsidR="008B0428" w:rsidRPr="000B2CE4">
        <w:t xml:space="preserve"> y</w:t>
      </w:r>
      <w:r w:rsidR="008B0428">
        <w:t xml:space="preserve"> al</w:t>
      </w:r>
      <w:r w:rsidR="008B0428" w:rsidRPr="000B2CE4">
        <w:t xml:space="preserve"> </w:t>
      </w:r>
      <w:r w:rsidR="008B0428">
        <w:t>31 de diciembre de 2021</w:t>
      </w:r>
      <w:r w:rsidRPr="00FE23B3">
        <w:rPr>
          <w:lang w:val="es-MX"/>
        </w:rPr>
        <w:t>, el rubro de Servicios Personales por Pagar a Corto Plazo se integra de la siguiente manera:</w:t>
      </w:r>
    </w:p>
    <w:p w14:paraId="6F276B2F" w14:textId="77777777" w:rsidR="009D5C48" w:rsidRDefault="009D5C48" w:rsidP="009D5C48">
      <w:pPr>
        <w:pStyle w:val="TEXTONORMAL"/>
        <w:ind w:left="720"/>
        <w:rPr>
          <w:lang w:val="es-MX"/>
        </w:rPr>
      </w:pPr>
    </w:p>
    <w:tbl>
      <w:tblPr>
        <w:tblW w:w="10045" w:type="dxa"/>
        <w:jc w:val="center"/>
        <w:tblCellMar>
          <w:left w:w="70" w:type="dxa"/>
          <w:right w:w="70" w:type="dxa"/>
        </w:tblCellMar>
        <w:tblLook w:val="04A0" w:firstRow="1" w:lastRow="0" w:firstColumn="1" w:lastColumn="0" w:noHBand="0" w:noVBand="1"/>
      </w:tblPr>
      <w:tblGrid>
        <w:gridCol w:w="6308"/>
        <w:gridCol w:w="1868"/>
        <w:gridCol w:w="1869"/>
      </w:tblGrid>
      <w:tr w:rsidR="00E22A7C" w:rsidRPr="00E22A7C" w14:paraId="748EB894" w14:textId="77777777" w:rsidTr="00E22A7C">
        <w:trPr>
          <w:trHeight w:val="268"/>
          <w:jc w:val="center"/>
        </w:trPr>
        <w:tc>
          <w:tcPr>
            <w:tcW w:w="630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647CE07" w14:textId="77777777" w:rsidR="00E22A7C" w:rsidRPr="00E22A7C" w:rsidRDefault="00E22A7C" w:rsidP="00E22A7C">
            <w:pPr>
              <w:spacing w:after="0" w:line="240" w:lineRule="auto"/>
              <w:jc w:val="center"/>
              <w:rPr>
                <w:rFonts w:ascii="Montserrat" w:eastAsia="Times New Roman" w:hAnsi="Montserrat"/>
                <w:b/>
                <w:bCs/>
                <w:color w:val="FFFFFF"/>
                <w:sz w:val="16"/>
                <w:szCs w:val="16"/>
                <w:lang w:val="es-MX" w:eastAsia="es-MX"/>
              </w:rPr>
            </w:pPr>
            <w:r w:rsidRPr="00E22A7C">
              <w:rPr>
                <w:rFonts w:ascii="Montserrat" w:eastAsia="Times New Roman" w:hAnsi="Montserrat"/>
                <w:b/>
                <w:bCs/>
                <w:color w:val="FFFFFF"/>
                <w:sz w:val="16"/>
                <w:szCs w:val="16"/>
                <w:lang w:val="es-MX" w:eastAsia="es-MX"/>
              </w:rPr>
              <w:t>Concepto</w:t>
            </w:r>
          </w:p>
        </w:tc>
        <w:tc>
          <w:tcPr>
            <w:tcW w:w="3737" w:type="dxa"/>
            <w:gridSpan w:val="2"/>
            <w:tcBorders>
              <w:top w:val="single" w:sz="12" w:space="0" w:color="808080"/>
              <w:left w:val="nil"/>
              <w:bottom w:val="single" w:sz="12" w:space="0" w:color="FFFFFF"/>
              <w:right w:val="nil"/>
            </w:tcBorders>
            <w:shd w:val="clear" w:color="000000" w:fill="D4C19C"/>
            <w:vAlign w:val="center"/>
            <w:hideMark/>
          </w:tcPr>
          <w:p w14:paraId="1BB7C860" w14:textId="77777777" w:rsidR="00E22A7C" w:rsidRPr="00E22A7C" w:rsidRDefault="00E22A7C" w:rsidP="00E22A7C">
            <w:pPr>
              <w:spacing w:after="0" w:line="240" w:lineRule="auto"/>
              <w:jc w:val="center"/>
              <w:rPr>
                <w:rFonts w:ascii="Montserrat" w:eastAsia="Times New Roman" w:hAnsi="Montserrat"/>
                <w:b/>
                <w:bCs/>
                <w:color w:val="FFFFFF"/>
                <w:sz w:val="16"/>
                <w:szCs w:val="16"/>
                <w:lang w:val="es-MX" w:eastAsia="es-MX"/>
              </w:rPr>
            </w:pPr>
            <w:r w:rsidRPr="00E22A7C">
              <w:rPr>
                <w:rFonts w:ascii="Montserrat" w:eastAsia="Times New Roman" w:hAnsi="Montserrat"/>
                <w:b/>
                <w:bCs/>
                <w:color w:val="FFFFFF"/>
                <w:sz w:val="16"/>
                <w:szCs w:val="16"/>
                <w:lang w:val="es-MX" w:eastAsia="es-MX"/>
              </w:rPr>
              <w:t>Cifras en pesos</w:t>
            </w:r>
          </w:p>
        </w:tc>
      </w:tr>
      <w:tr w:rsidR="00E22A7C" w:rsidRPr="00E22A7C" w14:paraId="0F998EA8" w14:textId="77777777" w:rsidTr="00E22A7C">
        <w:trPr>
          <w:trHeight w:val="268"/>
          <w:jc w:val="center"/>
        </w:trPr>
        <w:tc>
          <w:tcPr>
            <w:tcW w:w="6308" w:type="dxa"/>
            <w:vMerge/>
            <w:tcBorders>
              <w:top w:val="single" w:sz="12" w:space="0" w:color="808080"/>
              <w:left w:val="single" w:sz="12" w:space="0" w:color="FFFFFF"/>
              <w:bottom w:val="double" w:sz="6" w:space="0" w:color="808080"/>
              <w:right w:val="single" w:sz="12" w:space="0" w:color="FFFFFF"/>
            </w:tcBorders>
            <w:vAlign w:val="center"/>
            <w:hideMark/>
          </w:tcPr>
          <w:p w14:paraId="224BFE54" w14:textId="77777777" w:rsidR="00E22A7C" w:rsidRPr="00E22A7C" w:rsidRDefault="00E22A7C" w:rsidP="00E22A7C">
            <w:pPr>
              <w:spacing w:after="0" w:line="240" w:lineRule="auto"/>
              <w:rPr>
                <w:rFonts w:ascii="Montserrat" w:eastAsia="Times New Roman" w:hAnsi="Montserrat"/>
                <w:b/>
                <w:bCs/>
                <w:color w:val="FFFFFF"/>
                <w:sz w:val="16"/>
                <w:szCs w:val="16"/>
                <w:lang w:val="es-MX" w:eastAsia="es-MX"/>
              </w:rPr>
            </w:pPr>
          </w:p>
        </w:tc>
        <w:tc>
          <w:tcPr>
            <w:tcW w:w="1868" w:type="dxa"/>
            <w:tcBorders>
              <w:top w:val="nil"/>
              <w:left w:val="nil"/>
              <w:bottom w:val="double" w:sz="6" w:space="0" w:color="808080"/>
              <w:right w:val="single" w:sz="12" w:space="0" w:color="FFFFFF"/>
            </w:tcBorders>
            <w:shd w:val="clear" w:color="000000" w:fill="D4C19C"/>
            <w:vAlign w:val="center"/>
            <w:hideMark/>
          </w:tcPr>
          <w:p w14:paraId="58689A08" w14:textId="77777777" w:rsidR="00E22A7C" w:rsidRPr="00E22A7C" w:rsidRDefault="00E22A7C" w:rsidP="00E22A7C">
            <w:pPr>
              <w:spacing w:after="0" w:line="240" w:lineRule="auto"/>
              <w:jc w:val="center"/>
              <w:rPr>
                <w:rFonts w:ascii="Montserrat" w:eastAsia="Times New Roman" w:hAnsi="Montserrat"/>
                <w:b/>
                <w:bCs/>
                <w:color w:val="FFFFFF"/>
                <w:sz w:val="16"/>
                <w:szCs w:val="16"/>
                <w:lang w:val="es-MX" w:eastAsia="es-MX"/>
              </w:rPr>
            </w:pPr>
            <w:r w:rsidRPr="00E22A7C">
              <w:rPr>
                <w:rFonts w:ascii="Montserrat" w:eastAsia="Times New Roman" w:hAnsi="Montserrat"/>
                <w:b/>
                <w:bCs/>
                <w:color w:val="FFFFFF"/>
                <w:sz w:val="16"/>
                <w:szCs w:val="16"/>
                <w:lang w:val="es-MX" w:eastAsia="es-MX"/>
              </w:rPr>
              <w:t>2022</w:t>
            </w:r>
          </w:p>
        </w:tc>
        <w:tc>
          <w:tcPr>
            <w:tcW w:w="1868" w:type="dxa"/>
            <w:tcBorders>
              <w:top w:val="nil"/>
              <w:left w:val="nil"/>
              <w:bottom w:val="double" w:sz="6" w:space="0" w:color="808080"/>
              <w:right w:val="single" w:sz="12" w:space="0" w:color="FFFFFF"/>
            </w:tcBorders>
            <w:shd w:val="clear" w:color="000000" w:fill="D4C19C"/>
            <w:vAlign w:val="center"/>
            <w:hideMark/>
          </w:tcPr>
          <w:p w14:paraId="3FEA039E" w14:textId="77777777" w:rsidR="00E22A7C" w:rsidRPr="00E22A7C" w:rsidRDefault="00E22A7C" w:rsidP="00E22A7C">
            <w:pPr>
              <w:spacing w:after="0" w:line="240" w:lineRule="auto"/>
              <w:jc w:val="center"/>
              <w:rPr>
                <w:rFonts w:ascii="Montserrat" w:eastAsia="Times New Roman" w:hAnsi="Montserrat"/>
                <w:b/>
                <w:bCs/>
                <w:color w:val="FFFFFF"/>
                <w:sz w:val="16"/>
                <w:szCs w:val="16"/>
                <w:lang w:val="es-MX" w:eastAsia="es-MX"/>
              </w:rPr>
            </w:pPr>
            <w:r w:rsidRPr="00E22A7C">
              <w:rPr>
                <w:rFonts w:ascii="Montserrat" w:eastAsia="Times New Roman" w:hAnsi="Montserrat"/>
                <w:b/>
                <w:bCs/>
                <w:color w:val="FFFFFF"/>
                <w:sz w:val="16"/>
                <w:szCs w:val="16"/>
                <w:lang w:val="es-MX" w:eastAsia="es-MX"/>
              </w:rPr>
              <w:t>2021</w:t>
            </w:r>
          </w:p>
        </w:tc>
      </w:tr>
      <w:tr w:rsidR="00E22A7C" w:rsidRPr="00E22A7C" w14:paraId="66DA0CBF" w14:textId="77777777" w:rsidTr="00E22A7C">
        <w:trPr>
          <w:trHeight w:val="256"/>
          <w:jc w:val="center"/>
        </w:trPr>
        <w:tc>
          <w:tcPr>
            <w:tcW w:w="6308" w:type="dxa"/>
            <w:tcBorders>
              <w:top w:val="nil"/>
              <w:left w:val="nil"/>
              <w:bottom w:val="nil"/>
              <w:right w:val="nil"/>
            </w:tcBorders>
            <w:shd w:val="clear" w:color="000000" w:fill="F2F2F2"/>
            <w:vAlign w:val="center"/>
            <w:hideMark/>
          </w:tcPr>
          <w:p w14:paraId="110276BC" w14:textId="77777777" w:rsidR="00E22A7C" w:rsidRPr="00E22A7C" w:rsidRDefault="00E22A7C" w:rsidP="00E22A7C">
            <w:pPr>
              <w:spacing w:after="0" w:line="240" w:lineRule="auto"/>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Provisión de Liquidaciones Finiquitas Pendientes de Pago</w:t>
            </w:r>
          </w:p>
        </w:tc>
        <w:tc>
          <w:tcPr>
            <w:tcW w:w="1868" w:type="dxa"/>
            <w:tcBorders>
              <w:top w:val="nil"/>
              <w:left w:val="nil"/>
              <w:bottom w:val="nil"/>
              <w:right w:val="nil"/>
            </w:tcBorders>
            <w:shd w:val="clear" w:color="000000" w:fill="F2F2F2"/>
            <w:vAlign w:val="center"/>
            <w:hideMark/>
          </w:tcPr>
          <w:p w14:paraId="2691CA83"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657,856,226.6</w:t>
            </w:r>
          </w:p>
        </w:tc>
        <w:tc>
          <w:tcPr>
            <w:tcW w:w="1868" w:type="dxa"/>
            <w:tcBorders>
              <w:top w:val="nil"/>
              <w:left w:val="nil"/>
              <w:bottom w:val="nil"/>
              <w:right w:val="nil"/>
            </w:tcBorders>
            <w:shd w:val="clear" w:color="000000" w:fill="F2F2F2"/>
            <w:vAlign w:val="center"/>
            <w:hideMark/>
          </w:tcPr>
          <w:p w14:paraId="4212D09E"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295,576,127.5</w:t>
            </w:r>
          </w:p>
        </w:tc>
      </w:tr>
      <w:tr w:rsidR="00E22A7C" w:rsidRPr="00E22A7C" w14:paraId="75E50AD6" w14:textId="77777777" w:rsidTr="00E22A7C">
        <w:trPr>
          <w:trHeight w:val="244"/>
          <w:jc w:val="center"/>
        </w:trPr>
        <w:tc>
          <w:tcPr>
            <w:tcW w:w="6308" w:type="dxa"/>
            <w:tcBorders>
              <w:top w:val="nil"/>
              <w:left w:val="nil"/>
              <w:bottom w:val="nil"/>
              <w:right w:val="nil"/>
            </w:tcBorders>
            <w:shd w:val="clear" w:color="000000" w:fill="F2F2F2"/>
            <w:vAlign w:val="center"/>
            <w:hideMark/>
          </w:tcPr>
          <w:p w14:paraId="5627E2F0" w14:textId="77777777" w:rsidR="00E22A7C" w:rsidRPr="00E22A7C" w:rsidRDefault="00E22A7C" w:rsidP="00E22A7C">
            <w:pPr>
              <w:spacing w:after="0" w:line="240" w:lineRule="auto"/>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Sueldos y Remuneraciones</w:t>
            </w:r>
          </w:p>
        </w:tc>
        <w:tc>
          <w:tcPr>
            <w:tcW w:w="1868" w:type="dxa"/>
            <w:tcBorders>
              <w:top w:val="nil"/>
              <w:left w:val="nil"/>
              <w:bottom w:val="nil"/>
              <w:right w:val="nil"/>
            </w:tcBorders>
            <w:shd w:val="clear" w:color="000000" w:fill="F2F2F2"/>
            <w:vAlign w:val="center"/>
            <w:hideMark/>
          </w:tcPr>
          <w:p w14:paraId="5339EC13"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625,192,504.3</w:t>
            </w:r>
          </w:p>
        </w:tc>
        <w:tc>
          <w:tcPr>
            <w:tcW w:w="1868" w:type="dxa"/>
            <w:tcBorders>
              <w:top w:val="nil"/>
              <w:left w:val="nil"/>
              <w:bottom w:val="nil"/>
              <w:right w:val="nil"/>
            </w:tcBorders>
            <w:shd w:val="clear" w:color="000000" w:fill="F2F2F2"/>
            <w:vAlign w:val="center"/>
            <w:hideMark/>
          </w:tcPr>
          <w:p w14:paraId="70227B67"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848,480,957.2</w:t>
            </w:r>
          </w:p>
        </w:tc>
      </w:tr>
      <w:tr w:rsidR="00E22A7C" w:rsidRPr="00E22A7C" w14:paraId="36CBC80E" w14:textId="77777777" w:rsidTr="00E22A7C">
        <w:trPr>
          <w:trHeight w:val="244"/>
          <w:jc w:val="center"/>
        </w:trPr>
        <w:tc>
          <w:tcPr>
            <w:tcW w:w="6308" w:type="dxa"/>
            <w:tcBorders>
              <w:top w:val="nil"/>
              <w:left w:val="nil"/>
              <w:bottom w:val="nil"/>
              <w:right w:val="nil"/>
            </w:tcBorders>
            <w:shd w:val="clear" w:color="000000" w:fill="F2F2F2"/>
            <w:vAlign w:val="center"/>
            <w:hideMark/>
          </w:tcPr>
          <w:p w14:paraId="6EDDADA6" w14:textId="77777777" w:rsidR="00E22A7C" w:rsidRPr="00E22A7C" w:rsidRDefault="00E22A7C" w:rsidP="00E22A7C">
            <w:pPr>
              <w:spacing w:after="0" w:line="240" w:lineRule="auto"/>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Ropa Contractual</w:t>
            </w:r>
          </w:p>
        </w:tc>
        <w:tc>
          <w:tcPr>
            <w:tcW w:w="1868" w:type="dxa"/>
            <w:tcBorders>
              <w:top w:val="nil"/>
              <w:left w:val="nil"/>
              <w:bottom w:val="nil"/>
              <w:right w:val="nil"/>
            </w:tcBorders>
            <w:shd w:val="clear" w:color="000000" w:fill="F2F2F2"/>
            <w:vAlign w:val="center"/>
            <w:hideMark/>
          </w:tcPr>
          <w:p w14:paraId="495BA786"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17,545,826.0</w:t>
            </w:r>
          </w:p>
        </w:tc>
        <w:tc>
          <w:tcPr>
            <w:tcW w:w="1868" w:type="dxa"/>
            <w:tcBorders>
              <w:top w:val="nil"/>
              <w:left w:val="nil"/>
              <w:bottom w:val="nil"/>
              <w:right w:val="nil"/>
            </w:tcBorders>
            <w:shd w:val="clear" w:color="000000" w:fill="F2F2F2"/>
            <w:vAlign w:val="center"/>
            <w:hideMark/>
          </w:tcPr>
          <w:p w14:paraId="5C36A103"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358,691,353.7</w:t>
            </w:r>
          </w:p>
        </w:tc>
      </w:tr>
      <w:tr w:rsidR="00E22A7C" w:rsidRPr="00E22A7C" w14:paraId="39FDE3C7" w14:textId="77777777" w:rsidTr="00E22A7C">
        <w:trPr>
          <w:trHeight w:val="244"/>
          <w:jc w:val="center"/>
        </w:trPr>
        <w:tc>
          <w:tcPr>
            <w:tcW w:w="6308" w:type="dxa"/>
            <w:tcBorders>
              <w:top w:val="nil"/>
              <w:left w:val="nil"/>
              <w:bottom w:val="nil"/>
              <w:right w:val="nil"/>
            </w:tcBorders>
            <w:shd w:val="clear" w:color="000000" w:fill="F2F2F2"/>
            <w:vAlign w:val="center"/>
            <w:hideMark/>
          </w:tcPr>
          <w:p w14:paraId="42C6A45E" w14:textId="77777777" w:rsidR="00E22A7C" w:rsidRPr="00E22A7C" w:rsidRDefault="00E22A7C" w:rsidP="00E22A7C">
            <w:pPr>
              <w:spacing w:after="0" w:line="240" w:lineRule="auto"/>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Otros Gastos de Personal</w:t>
            </w:r>
          </w:p>
        </w:tc>
        <w:tc>
          <w:tcPr>
            <w:tcW w:w="1868" w:type="dxa"/>
            <w:tcBorders>
              <w:top w:val="nil"/>
              <w:left w:val="nil"/>
              <w:bottom w:val="nil"/>
              <w:right w:val="nil"/>
            </w:tcBorders>
            <w:shd w:val="clear" w:color="000000" w:fill="F2F2F2"/>
            <w:vAlign w:val="center"/>
            <w:hideMark/>
          </w:tcPr>
          <w:p w14:paraId="599C7779"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55,586,725.6</w:t>
            </w:r>
          </w:p>
        </w:tc>
        <w:tc>
          <w:tcPr>
            <w:tcW w:w="1868" w:type="dxa"/>
            <w:tcBorders>
              <w:top w:val="nil"/>
              <w:left w:val="nil"/>
              <w:bottom w:val="nil"/>
              <w:right w:val="nil"/>
            </w:tcBorders>
            <w:shd w:val="clear" w:color="000000" w:fill="F2F2F2"/>
            <w:vAlign w:val="center"/>
            <w:hideMark/>
          </w:tcPr>
          <w:p w14:paraId="62A0482D" w14:textId="77777777" w:rsidR="00E22A7C" w:rsidRPr="00E22A7C" w:rsidRDefault="00E22A7C" w:rsidP="00E22A7C">
            <w:pPr>
              <w:spacing w:after="0" w:line="240" w:lineRule="auto"/>
              <w:jc w:val="right"/>
              <w:rPr>
                <w:rFonts w:ascii="Montserrat" w:eastAsia="Times New Roman" w:hAnsi="Montserrat"/>
                <w:color w:val="000000"/>
                <w:sz w:val="15"/>
                <w:szCs w:val="15"/>
                <w:lang w:val="es-MX" w:eastAsia="es-MX"/>
              </w:rPr>
            </w:pPr>
            <w:r w:rsidRPr="00E22A7C">
              <w:rPr>
                <w:rFonts w:ascii="Montserrat" w:eastAsia="Times New Roman" w:hAnsi="Montserrat"/>
                <w:color w:val="000000"/>
                <w:sz w:val="15"/>
                <w:szCs w:val="15"/>
                <w:lang w:val="es-MX" w:eastAsia="es-MX"/>
              </w:rPr>
              <w:t>35,537,469.6</w:t>
            </w:r>
          </w:p>
        </w:tc>
      </w:tr>
      <w:tr w:rsidR="00E22A7C" w:rsidRPr="00E22A7C" w14:paraId="7B412228" w14:textId="77777777" w:rsidTr="00E22A7C">
        <w:trPr>
          <w:trHeight w:val="256"/>
          <w:jc w:val="center"/>
        </w:trPr>
        <w:tc>
          <w:tcPr>
            <w:tcW w:w="6308" w:type="dxa"/>
            <w:tcBorders>
              <w:top w:val="nil"/>
              <w:left w:val="nil"/>
              <w:bottom w:val="single" w:sz="12" w:space="0" w:color="808080"/>
              <w:right w:val="nil"/>
            </w:tcBorders>
            <w:shd w:val="clear" w:color="000000" w:fill="F2F2F2"/>
            <w:vAlign w:val="center"/>
            <w:hideMark/>
          </w:tcPr>
          <w:p w14:paraId="5C1825AE" w14:textId="77777777" w:rsidR="00E22A7C" w:rsidRPr="00E22A7C" w:rsidRDefault="00E22A7C" w:rsidP="00E22A7C">
            <w:pPr>
              <w:spacing w:after="0" w:line="240" w:lineRule="auto"/>
              <w:rPr>
                <w:rFonts w:ascii="Montserrat" w:eastAsia="Times New Roman" w:hAnsi="Montserrat"/>
                <w:b/>
                <w:bCs/>
                <w:color w:val="000000"/>
                <w:sz w:val="15"/>
                <w:szCs w:val="15"/>
                <w:lang w:val="es-MX" w:eastAsia="es-MX"/>
              </w:rPr>
            </w:pPr>
            <w:r w:rsidRPr="00E22A7C">
              <w:rPr>
                <w:rFonts w:ascii="Montserrat" w:eastAsia="Times New Roman" w:hAnsi="Montserrat"/>
                <w:b/>
                <w:bCs/>
                <w:color w:val="000000"/>
                <w:sz w:val="15"/>
                <w:szCs w:val="15"/>
                <w:lang w:val="es-MX" w:eastAsia="es-MX"/>
              </w:rPr>
              <w:t>Total Servicios Personales por Pagar a Corto Plazo</w:t>
            </w:r>
          </w:p>
        </w:tc>
        <w:tc>
          <w:tcPr>
            <w:tcW w:w="1868" w:type="dxa"/>
            <w:tcBorders>
              <w:top w:val="nil"/>
              <w:left w:val="nil"/>
              <w:bottom w:val="single" w:sz="12" w:space="0" w:color="808080"/>
              <w:right w:val="nil"/>
            </w:tcBorders>
            <w:shd w:val="clear" w:color="000000" w:fill="F2F2F2"/>
            <w:vAlign w:val="center"/>
            <w:hideMark/>
          </w:tcPr>
          <w:p w14:paraId="256A5CA1" w14:textId="77777777" w:rsidR="00E22A7C" w:rsidRPr="00E22A7C" w:rsidRDefault="00E22A7C" w:rsidP="00E22A7C">
            <w:pPr>
              <w:spacing w:after="0" w:line="240" w:lineRule="auto"/>
              <w:jc w:val="right"/>
              <w:rPr>
                <w:rFonts w:ascii="Montserrat" w:eastAsia="Times New Roman" w:hAnsi="Montserrat"/>
                <w:b/>
                <w:bCs/>
                <w:color w:val="000000"/>
                <w:sz w:val="15"/>
                <w:szCs w:val="15"/>
                <w:lang w:val="es-MX" w:eastAsia="es-MX"/>
              </w:rPr>
            </w:pPr>
            <w:r w:rsidRPr="00E22A7C">
              <w:rPr>
                <w:rFonts w:ascii="Montserrat" w:eastAsia="Times New Roman" w:hAnsi="Montserrat"/>
                <w:b/>
                <w:bCs/>
                <w:color w:val="000000"/>
                <w:sz w:val="15"/>
                <w:szCs w:val="15"/>
                <w:lang w:val="es-MX" w:eastAsia="es-MX"/>
              </w:rPr>
              <w:t>1,356,181,282.5</w:t>
            </w:r>
          </w:p>
        </w:tc>
        <w:tc>
          <w:tcPr>
            <w:tcW w:w="1868" w:type="dxa"/>
            <w:tcBorders>
              <w:top w:val="nil"/>
              <w:left w:val="nil"/>
              <w:bottom w:val="single" w:sz="12" w:space="0" w:color="808080"/>
              <w:right w:val="nil"/>
            </w:tcBorders>
            <w:shd w:val="clear" w:color="000000" w:fill="F2F2F2"/>
            <w:vAlign w:val="center"/>
            <w:hideMark/>
          </w:tcPr>
          <w:p w14:paraId="7C704CD9" w14:textId="77777777" w:rsidR="00E22A7C" w:rsidRPr="00E22A7C" w:rsidRDefault="00E22A7C" w:rsidP="00E22A7C">
            <w:pPr>
              <w:spacing w:after="0" w:line="240" w:lineRule="auto"/>
              <w:jc w:val="right"/>
              <w:rPr>
                <w:rFonts w:ascii="Montserrat" w:eastAsia="Times New Roman" w:hAnsi="Montserrat"/>
                <w:b/>
                <w:bCs/>
                <w:color w:val="000000"/>
                <w:sz w:val="15"/>
                <w:szCs w:val="15"/>
                <w:lang w:val="es-MX" w:eastAsia="es-MX"/>
              </w:rPr>
            </w:pPr>
            <w:r w:rsidRPr="00E22A7C">
              <w:rPr>
                <w:rFonts w:ascii="Montserrat" w:eastAsia="Times New Roman" w:hAnsi="Montserrat"/>
                <w:b/>
                <w:bCs/>
                <w:color w:val="000000"/>
                <w:sz w:val="15"/>
                <w:szCs w:val="15"/>
                <w:lang w:val="es-MX" w:eastAsia="es-MX"/>
              </w:rPr>
              <w:t>1,538,285,908.0</w:t>
            </w:r>
          </w:p>
        </w:tc>
      </w:tr>
    </w:tbl>
    <w:p w14:paraId="0CC84628" w14:textId="77777777" w:rsidR="00E22A7C" w:rsidRDefault="00E22A7C" w:rsidP="009D5C48">
      <w:pPr>
        <w:pStyle w:val="TEXTONORMAL"/>
        <w:ind w:left="720"/>
        <w:rPr>
          <w:lang w:val="es-MX"/>
        </w:rPr>
      </w:pPr>
    </w:p>
    <w:p w14:paraId="7A38161D" w14:textId="77777777" w:rsidR="00A461CA" w:rsidRDefault="00A461CA" w:rsidP="009D5C48">
      <w:pPr>
        <w:pStyle w:val="TEXTONORMAL"/>
        <w:ind w:left="720"/>
        <w:rPr>
          <w:lang w:val="es-MX"/>
        </w:rPr>
      </w:pPr>
    </w:p>
    <w:p w14:paraId="54B54F78" w14:textId="77777777" w:rsidR="009D5C48" w:rsidRDefault="009D5C48" w:rsidP="003F2A12">
      <w:pPr>
        <w:pStyle w:val="TEXTONORMAL"/>
        <w:numPr>
          <w:ilvl w:val="0"/>
          <w:numId w:val="33"/>
        </w:numPr>
        <w:rPr>
          <w:lang w:val="es-MX"/>
        </w:rPr>
      </w:pPr>
      <w:r>
        <w:rPr>
          <w:b/>
          <w:lang w:val="es-MX"/>
        </w:rPr>
        <w:t>2.1.e</w:t>
      </w:r>
      <w:r w:rsidRPr="00A50EDF">
        <w:rPr>
          <w:b/>
          <w:lang w:val="es-MX"/>
        </w:rPr>
        <w:t>)</w:t>
      </w:r>
      <w:r>
        <w:rPr>
          <w:lang w:val="es-MX"/>
        </w:rPr>
        <w:t xml:space="preserve"> </w:t>
      </w:r>
      <w:r w:rsidR="001B0EC8">
        <w:t xml:space="preserve">Al </w:t>
      </w:r>
      <w:r w:rsidR="001B0EC8" w:rsidRPr="00F34EE0">
        <w:t>30</w:t>
      </w:r>
      <w:r w:rsidR="008B0428" w:rsidRPr="00F34EE0">
        <w:t xml:space="preserve"> de </w:t>
      </w:r>
      <w:r w:rsidR="00E22A7C">
        <w:t>septiembre</w:t>
      </w:r>
      <w:r w:rsidR="008B0428" w:rsidRPr="00F34EE0">
        <w:t xml:space="preserve"> de 2022 y al 31 de diciembre de 2021</w:t>
      </w:r>
      <w:r w:rsidRPr="00F34EE0">
        <w:rPr>
          <w:lang w:val="es-MX"/>
        </w:rPr>
        <w:t>, el rubro de Transferencias Otorgadas por Pagar a Corto Plazo se integra de la siguiente manera:</w:t>
      </w:r>
    </w:p>
    <w:p w14:paraId="4AB68F07" w14:textId="77777777" w:rsidR="00495AF7" w:rsidRPr="00F34EE0" w:rsidRDefault="00495AF7" w:rsidP="00495AF7">
      <w:pPr>
        <w:pStyle w:val="TEXTONORMAL"/>
        <w:ind w:left="720"/>
        <w:rPr>
          <w:lang w:val="es-MX"/>
        </w:rPr>
      </w:pPr>
    </w:p>
    <w:tbl>
      <w:tblPr>
        <w:tblW w:w="10060" w:type="dxa"/>
        <w:jc w:val="center"/>
        <w:tblCellMar>
          <w:left w:w="70" w:type="dxa"/>
          <w:right w:w="70" w:type="dxa"/>
        </w:tblCellMar>
        <w:tblLook w:val="04A0" w:firstRow="1" w:lastRow="0" w:firstColumn="1" w:lastColumn="0" w:noHBand="0" w:noVBand="1"/>
      </w:tblPr>
      <w:tblGrid>
        <w:gridCol w:w="6318"/>
        <w:gridCol w:w="1871"/>
        <w:gridCol w:w="1871"/>
      </w:tblGrid>
      <w:tr w:rsidR="00495AF7" w:rsidRPr="00495AF7" w14:paraId="300D2F9D" w14:textId="77777777" w:rsidTr="00495AF7">
        <w:trPr>
          <w:trHeight w:val="278"/>
          <w:jc w:val="center"/>
        </w:trPr>
        <w:tc>
          <w:tcPr>
            <w:tcW w:w="631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899D09D" w14:textId="77777777" w:rsidR="00495AF7" w:rsidRPr="00495AF7" w:rsidRDefault="00495AF7" w:rsidP="00495AF7">
            <w:pPr>
              <w:spacing w:after="0" w:line="240" w:lineRule="auto"/>
              <w:jc w:val="center"/>
              <w:rPr>
                <w:rFonts w:ascii="Montserrat" w:eastAsia="Times New Roman" w:hAnsi="Montserrat"/>
                <w:b/>
                <w:bCs/>
                <w:color w:val="FFFFFF"/>
                <w:sz w:val="16"/>
                <w:szCs w:val="16"/>
                <w:lang w:val="es-MX" w:eastAsia="es-MX"/>
              </w:rPr>
            </w:pPr>
            <w:r w:rsidRPr="00495AF7">
              <w:rPr>
                <w:rFonts w:ascii="Montserrat" w:eastAsia="Times New Roman" w:hAnsi="Montserrat"/>
                <w:b/>
                <w:bCs/>
                <w:color w:val="FFFFFF"/>
                <w:sz w:val="16"/>
                <w:szCs w:val="16"/>
                <w:lang w:val="es-MX" w:eastAsia="es-MX"/>
              </w:rPr>
              <w:t>Concepto</w:t>
            </w:r>
          </w:p>
        </w:tc>
        <w:tc>
          <w:tcPr>
            <w:tcW w:w="374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FE50568" w14:textId="77777777" w:rsidR="00495AF7" w:rsidRPr="00495AF7" w:rsidRDefault="00495AF7" w:rsidP="00495AF7">
            <w:pPr>
              <w:spacing w:after="0" w:line="240" w:lineRule="auto"/>
              <w:jc w:val="center"/>
              <w:rPr>
                <w:rFonts w:ascii="Montserrat" w:eastAsia="Times New Roman" w:hAnsi="Montserrat"/>
                <w:b/>
                <w:bCs/>
                <w:color w:val="FFFFFF"/>
                <w:sz w:val="16"/>
                <w:szCs w:val="16"/>
                <w:lang w:val="es-MX" w:eastAsia="es-MX"/>
              </w:rPr>
            </w:pPr>
            <w:r w:rsidRPr="00495AF7">
              <w:rPr>
                <w:rFonts w:ascii="Montserrat" w:eastAsia="Times New Roman" w:hAnsi="Montserrat"/>
                <w:b/>
                <w:bCs/>
                <w:color w:val="FFFFFF"/>
                <w:sz w:val="16"/>
                <w:szCs w:val="16"/>
                <w:lang w:val="es-MX" w:eastAsia="es-MX"/>
              </w:rPr>
              <w:t>Cifras en pesos</w:t>
            </w:r>
          </w:p>
        </w:tc>
      </w:tr>
      <w:tr w:rsidR="00495AF7" w:rsidRPr="00495AF7" w14:paraId="1AE710BF" w14:textId="77777777" w:rsidTr="00495AF7">
        <w:trPr>
          <w:trHeight w:val="278"/>
          <w:jc w:val="center"/>
        </w:trPr>
        <w:tc>
          <w:tcPr>
            <w:tcW w:w="6318" w:type="dxa"/>
            <w:vMerge/>
            <w:tcBorders>
              <w:top w:val="single" w:sz="12" w:space="0" w:color="808080"/>
              <w:left w:val="single" w:sz="12" w:space="0" w:color="FFFFFF"/>
              <w:bottom w:val="double" w:sz="6" w:space="0" w:color="808080"/>
              <w:right w:val="single" w:sz="12" w:space="0" w:color="FFFFFF"/>
            </w:tcBorders>
            <w:vAlign w:val="center"/>
            <w:hideMark/>
          </w:tcPr>
          <w:p w14:paraId="04E862CB" w14:textId="77777777" w:rsidR="00495AF7" w:rsidRPr="00495AF7" w:rsidRDefault="00495AF7" w:rsidP="00495AF7">
            <w:pPr>
              <w:spacing w:after="0" w:line="240" w:lineRule="auto"/>
              <w:rPr>
                <w:rFonts w:ascii="Montserrat" w:eastAsia="Times New Roman" w:hAnsi="Montserrat"/>
                <w:b/>
                <w:bCs/>
                <w:color w:val="FFFFFF"/>
                <w:sz w:val="16"/>
                <w:szCs w:val="16"/>
                <w:lang w:val="es-MX" w:eastAsia="es-MX"/>
              </w:rPr>
            </w:pPr>
          </w:p>
        </w:tc>
        <w:tc>
          <w:tcPr>
            <w:tcW w:w="1871" w:type="dxa"/>
            <w:tcBorders>
              <w:top w:val="nil"/>
              <w:left w:val="nil"/>
              <w:bottom w:val="double" w:sz="6" w:space="0" w:color="808080"/>
              <w:right w:val="single" w:sz="12" w:space="0" w:color="FFFFFF"/>
            </w:tcBorders>
            <w:shd w:val="clear" w:color="000000" w:fill="D4C19C"/>
            <w:vAlign w:val="center"/>
            <w:hideMark/>
          </w:tcPr>
          <w:p w14:paraId="6222C788" w14:textId="77777777" w:rsidR="00495AF7" w:rsidRPr="00495AF7" w:rsidRDefault="00495AF7" w:rsidP="00495AF7">
            <w:pPr>
              <w:spacing w:after="0" w:line="240" w:lineRule="auto"/>
              <w:jc w:val="center"/>
              <w:rPr>
                <w:rFonts w:ascii="Montserrat" w:eastAsia="Times New Roman" w:hAnsi="Montserrat"/>
                <w:b/>
                <w:bCs/>
                <w:color w:val="FFFFFF"/>
                <w:sz w:val="16"/>
                <w:szCs w:val="16"/>
                <w:lang w:val="es-MX" w:eastAsia="es-MX"/>
              </w:rPr>
            </w:pPr>
            <w:r w:rsidRPr="00495AF7">
              <w:rPr>
                <w:rFonts w:ascii="Montserrat" w:eastAsia="Times New Roman" w:hAnsi="Montserrat"/>
                <w:b/>
                <w:bCs/>
                <w:color w:val="FFFFFF"/>
                <w:sz w:val="16"/>
                <w:szCs w:val="16"/>
                <w:lang w:val="es-MX" w:eastAsia="es-MX"/>
              </w:rPr>
              <w:t>2022</w:t>
            </w:r>
          </w:p>
        </w:tc>
        <w:tc>
          <w:tcPr>
            <w:tcW w:w="1871" w:type="dxa"/>
            <w:tcBorders>
              <w:top w:val="nil"/>
              <w:left w:val="nil"/>
              <w:bottom w:val="double" w:sz="6" w:space="0" w:color="808080"/>
              <w:right w:val="single" w:sz="12" w:space="0" w:color="FFFFFF"/>
            </w:tcBorders>
            <w:shd w:val="clear" w:color="000000" w:fill="D4C19C"/>
            <w:vAlign w:val="center"/>
            <w:hideMark/>
          </w:tcPr>
          <w:p w14:paraId="6B4D98AD" w14:textId="77777777" w:rsidR="00495AF7" w:rsidRPr="00495AF7" w:rsidRDefault="00495AF7" w:rsidP="00495AF7">
            <w:pPr>
              <w:spacing w:after="0" w:line="240" w:lineRule="auto"/>
              <w:jc w:val="center"/>
              <w:rPr>
                <w:rFonts w:ascii="Montserrat" w:eastAsia="Times New Roman" w:hAnsi="Montserrat"/>
                <w:b/>
                <w:bCs/>
                <w:color w:val="FFFFFF"/>
                <w:sz w:val="16"/>
                <w:szCs w:val="16"/>
                <w:lang w:val="es-MX" w:eastAsia="es-MX"/>
              </w:rPr>
            </w:pPr>
            <w:r w:rsidRPr="00495AF7">
              <w:rPr>
                <w:rFonts w:ascii="Montserrat" w:eastAsia="Times New Roman" w:hAnsi="Montserrat"/>
                <w:b/>
                <w:bCs/>
                <w:color w:val="FFFFFF"/>
                <w:sz w:val="16"/>
                <w:szCs w:val="16"/>
                <w:lang w:val="es-MX" w:eastAsia="es-MX"/>
              </w:rPr>
              <w:t>2021</w:t>
            </w:r>
          </w:p>
        </w:tc>
      </w:tr>
      <w:tr w:rsidR="00495AF7" w:rsidRPr="00495AF7" w14:paraId="72CDCC4F" w14:textId="77777777" w:rsidTr="00495AF7">
        <w:trPr>
          <w:trHeight w:val="265"/>
          <w:jc w:val="center"/>
        </w:trPr>
        <w:tc>
          <w:tcPr>
            <w:tcW w:w="6318" w:type="dxa"/>
            <w:tcBorders>
              <w:top w:val="nil"/>
              <w:left w:val="nil"/>
              <w:bottom w:val="nil"/>
              <w:right w:val="nil"/>
            </w:tcBorders>
            <w:shd w:val="clear" w:color="000000" w:fill="F2F2F2"/>
            <w:vAlign w:val="center"/>
            <w:hideMark/>
          </w:tcPr>
          <w:p w14:paraId="2D7A3871"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Pensiones y Jubilaciones Contractuales</w:t>
            </w:r>
          </w:p>
        </w:tc>
        <w:tc>
          <w:tcPr>
            <w:tcW w:w="1871" w:type="dxa"/>
            <w:tcBorders>
              <w:top w:val="nil"/>
              <w:left w:val="nil"/>
              <w:bottom w:val="nil"/>
              <w:right w:val="nil"/>
            </w:tcBorders>
            <w:shd w:val="clear" w:color="000000" w:fill="F2F2F2"/>
            <w:vAlign w:val="center"/>
            <w:hideMark/>
          </w:tcPr>
          <w:p w14:paraId="44D424B6"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54,660,582.3</w:t>
            </w:r>
          </w:p>
        </w:tc>
        <w:tc>
          <w:tcPr>
            <w:tcW w:w="1871" w:type="dxa"/>
            <w:tcBorders>
              <w:top w:val="nil"/>
              <w:left w:val="nil"/>
              <w:bottom w:val="nil"/>
              <w:right w:val="nil"/>
            </w:tcBorders>
            <w:shd w:val="clear" w:color="000000" w:fill="F2F2F2"/>
            <w:vAlign w:val="center"/>
            <w:hideMark/>
          </w:tcPr>
          <w:p w14:paraId="199135E8"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28,729,058.7</w:t>
            </w:r>
          </w:p>
        </w:tc>
      </w:tr>
      <w:tr w:rsidR="00495AF7" w:rsidRPr="00495AF7" w14:paraId="7920306D" w14:textId="77777777" w:rsidTr="00495AF7">
        <w:trPr>
          <w:trHeight w:val="253"/>
          <w:jc w:val="center"/>
        </w:trPr>
        <w:tc>
          <w:tcPr>
            <w:tcW w:w="6318" w:type="dxa"/>
            <w:tcBorders>
              <w:top w:val="nil"/>
              <w:left w:val="nil"/>
              <w:bottom w:val="nil"/>
              <w:right w:val="nil"/>
            </w:tcBorders>
            <w:shd w:val="clear" w:color="000000" w:fill="F2F2F2"/>
            <w:vAlign w:val="center"/>
            <w:hideMark/>
          </w:tcPr>
          <w:p w14:paraId="5C23FA65"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 xml:space="preserve">Servicios de Traslado de Personas </w:t>
            </w:r>
          </w:p>
        </w:tc>
        <w:tc>
          <w:tcPr>
            <w:tcW w:w="1871" w:type="dxa"/>
            <w:tcBorders>
              <w:top w:val="nil"/>
              <w:left w:val="nil"/>
              <w:bottom w:val="nil"/>
              <w:right w:val="nil"/>
            </w:tcBorders>
            <w:shd w:val="clear" w:color="000000" w:fill="F2F2F2"/>
            <w:vAlign w:val="center"/>
            <w:hideMark/>
          </w:tcPr>
          <w:p w14:paraId="6B49CCBB"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55,646,948.3</w:t>
            </w:r>
          </w:p>
        </w:tc>
        <w:tc>
          <w:tcPr>
            <w:tcW w:w="1871" w:type="dxa"/>
            <w:tcBorders>
              <w:top w:val="nil"/>
              <w:left w:val="nil"/>
              <w:bottom w:val="nil"/>
              <w:right w:val="nil"/>
            </w:tcBorders>
            <w:shd w:val="clear" w:color="000000" w:fill="F2F2F2"/>
            <w:vAlign w:val="center"/>
            <w:hideMark/>
          </w:tcPr>
          <w:p w14:paraId="09400C30"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9,102,206.6</w:t>
            </w:r>
          </w:p>
        </w:tc>
      </w:tr>
      <w:tr w:rsidR="00495AF7" w:rsidRPr="00495AF7" w14:paraId="2A5B327E" w14:textId="77777777" w:rsidTr="00495AF7">
        <w:trPr>
          <w:trHeight w:val="253"/>
          <w:jc w:val="center"/>
        </w:trPr>
        <w:tc>
          <w:tcPr>
            <w:tcW w:w="6318" w:type="dxa"/>
            <w:tcBorders>
              <w:top w:val="nil"/>
              <w:left w:val="nil"/>
              <w:bottom w:val="nil"/>
              <w:right w:val="nil"/>
            </w:tcBorders>
            <w:shd w:val="clear" w:color="000000" w:fill="F2F2F2"/>
            <w:vAlign w:val="center"/>
            <w:hideMark/>
          </w:tcPr>
          <w:p w14:paraId="62EEBF21"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Fondo Especial de Contingencia</w:t>
            </w:r>
          </w:p>
        </w:tc>
        <w:tc>
          <w:tcPr>
            <w:tcW w:w="1871" w:type="dxa"/>
            <w:tcBorders>
              <w:top w:val="nil"/>
              <w:left w:val="nil"/>
              <w:bottom w:val="nil"/>
              <w:right w:val="nil"/>
            </w:tcBorders>
            <w:shd w:val="clear" w:color="000000" w:fill="F2F2F2"/>
            <w:vAlign w:val="center"/>
            <w:hideMark/>
          </w:tcPr>
          <w:p w14:paraId="7C2746CD"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8,663,942.5</w:t>
            </w:r>
          </w:p>
        </w:tc>
        <w:tc>
          <w:tcPr>
            <w:tcW w:w="1871" w:type="dxa"/>
            <w:tcBorders>
              <w:top w:val="nil"/>
              <w:left w:val="nil"/>
              <w:bottom w:val="nil"/>
              <w:right w:val="nil"/>
            </w:tcBorders>
            <w:shd w:val="clear" w:color="000000" w:fill="F2F2F2"/>
            <w:vAlign w:val="center"/>
            <w:hideMark/>
          </w:tcPr>
          <w:p w14:paraId="09D4234F"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15,732.2</w:t>
            </w:r>
          </w:p>
        </w:tc>
      </w:tr>
      <w:tr w:rsidR="00495AF7" w:rsidRPr="00495AF7" w14:paraId="4D08BB1D" w14:textId="77777777" w:rsidTr="00495AF7">
        <w:trPr>
          <w:trHeight w:val="253"/>
          <w:jc w:val="center"/>
        </w:trPr>
        <w:tc>
          <w:tcPr>
            <w:tcW w:w="6318" w:type="dxa"/>
            <w:tcBorders>
              <w:top w:val="nil"/>
              <w:left w:val="nil"/>
              <w:bottom w:val="nil"/>
              <w:right w:val="nil"/>
            </w:tcBorders>
            <w:shd w:val="clear" w:color="000000" w:fill="F2F2F2"/>
            <w:vAlign w:val="center"/>
            <w:hideMark/>
          </w:tcPr>
          <w:p w14:paraId="07ACC65F"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Guardería ABC</w:t>
            </w:r>
          </w:p>
        </w:tc>
        <w:tc>
          <w:tcPr>
            <w:tcW w:w="1871" w:type="dxa"/>
            <w:tcBorders>
              <w:top w:val="nil"/>
              <w:left w:val="nil"/>
              <w:bottom w:val="nil"/>
              <w:right w:val="nil"/>
            </w:tcBorders>
            <w:shd w:val="clear" w:color="000000" w:fill="F2F2F2"/>
            <w:vAlign w:val="center"/>
            <w:hideMark/>
          </w:tcPr>
          <w:p w14:paraId="0A42DFA4"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529,524.7</w:t>
            </w:r>
          </w:p>
        </w:tc>
        <w:tc>
          <w:tcPr>
            <w:tcW w:w="1871" w:type="dxa"/>
            <w:tcBorders>
              <w:top w:val="nil"/>
              <w:left w:val="nil"/>
              <w:bottom w:val="nil"/>
              <w:right w:val="nil"/>
            </w:tcBorders>
            <w:shd w:val="clear" w:color="000000" w:fill="F2F2F2"/>
            <w:vAlign w:val="center"/>
            <w:hideMark/>
          </w:tcPr>
          <w:p w14:paraId="428A41BD"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177,164.6</w:t>
            </w:r>
          </w:p>
        </w:tc>
      </w:tr>
      <w:tr w:rsidR="00495AF7" w:rsidRPr="00495AF7" w14:paraId="04F1C95B" w14:textId="77777777" w:rsidTr="00495AF7">
        <w:trPr>
          <w:trHeight w:val="253"/>
          <w:jc w:val="center"/>
        </w:trPr>
        <w:tc>
          <w:tcPr>
            <w:tcW w:w="6318" w:type="dxa"/>
            <w:tcBorders>
              <w:top w:val="nil"/>
              <w:left w:val="nil"/>
              <w:bottom w:val="nil"/>
              <w:right w:val="nil"/>
            </w:tcBorders>
            <w:shd w:val="clear" w:color="000000" w:fill="F2F2F2"/>
            <w:vAlign w:val="center"/>
            <w:hideMark/>
          </w:tcPr>
          <w:p w14:paraId="62FF1E00"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 xml:space="preserve">Prestaciones Económicas Ayuda Gastos de Funeral </w:t>
            </w:r>
          </w:p>
        </w:tc>
        <w:tc>
          <w:tcPr>
            <w:tcW w:w="1871" w:type="dxa"/>
            <w:tcBorders>
              <w:top w:val="nil"/>
              <w:left w:val="nil"/>
              <w:bottom w:val="nil"/>
              <w:right w:val="nil"/>
            </w:tcBorders>
            <w:shd w:val="clear" w:color="000000" w:fill="F2F2F2"/>
            <w:vAlign w:val="center"/>
            <w:hideMark/>
          </w:tcPr>
          <w:p w14:paraId="702ED75D"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0.0</w:t>
            </w:r>
          </w:p>
        </w:tc>
        <w:tc>
          <w:tcPr>
            <w:tcW w:w="1871" w:type="dxa"/>
            <w:tcBorders>
              <w:top w:val="nil"/>
              <w:left w:val="nil"/>
              <w:bottom w:val="nil"/>
              <w:right w:val="nil"/>
            </w:tcBorders>
            <w:shd w:val="clear" w:color="000000" w:fill="F2F2F2"/>
            <w:vAlign w:val="center"/>
            <w:hideMark/>
          </w:tcPr>
          <w:p w14:paraId="5009042B"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0.0</w:t>
            </w:r>
          </w:p>
        </w:tc>
      </w:tr>
      <w:tr w:rsidR="00495AF7" w:rsidRPr="00495AF7" w14:paraId="126924BF" w14:textId="77777777" w:rsidTr="00495AF7">
        <w:trPr>
          <w:trHeight w:val="253"/>
          <w:jc w:val="center"/>
        </w:trPr>
        <w:tc>
          <w:tcPr>
            <w:tcW w:w="6318" w:type="dxa"/>
            <w:tcBorders>
              <w:top w:val="nil"/>
              <w:left w:val="nil"/>
              <w:bottom w:val="nil"/>
              <w:right w:val="nil"/>
            </w:tcBorders>
            <w:shd w:val="clear" w:color="000000" w:fill="F2F2F2"/>
            <w:vAlign w:val="center"/>
            <w:hideMark/>
          </w:tcPr>
          <w:p w14:paraId="4AC65278"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Ayudas Sociales</w:t>
            </w:r>
          </w:p>
        </w:tc>
        <w:tc>
          <w:tcPr>
            <w:tcW w:w="1871" w:type="dxa"/>
            <w:tcBorders>
              <w:top w:val="nil"/>
              <w:left w:val="nil"/>
              <w:bottom w:val="nil"/>
              <w:right w:val="nil"/>
            </w:tcBorders>
            <w:shd w:val="clear" w:color="000000" w:fill="F2F2F2"/>
            <w:vAlign w:val="center"/>
            <w:hideMark/>
          </w:tcPr>
          <w:p w14:paraId="35569817"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483,333.6</w:t>
            </w:r>
          </w:p>
        </w:tc>
        <w:tc>
          <w:tcPr>
            <w:tcW w:w="1871" w:type="dxa"/>
            <w:tcBorders>
              <w:top w:val="nil"/>
              <w:left w:val="nil"/>
              <w:bottom w:val="nil"/>
              <w:right w:val="nil"/>
            </w:tcBorders>
            <w:shd w:val="clear" w:color="000000" w:fill="F2F2F2"/>
            <w:vAlign w:val="center"/>
            <w:hideMark/>
          </w:tcPr>
          <w:p w14:paraId="561583AB"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993,746.9</w:t>
            </w:r>
          </w:p>
        </w:tc>
      </w:tr>
      <w:tr w:rsidR="00495AF7" w:rsidRPr="00495AF7" w14:paraId="6D8C3AF2" w14:textId="77777777" w:rsidTr="00495AF7">
        <w:trPr>
          <w:trHeight w:val="253"/>
          <w:jc w:val="center"/>
        </w:trPr>
        <w:tc>
          <w:tcPr>
            <w:tcW w:w="6318" w:type="dxa"/>
            <w:tcBorders>
              <w:top w:val="nil"/>
              <w:left w:val="nil"/>
              <w:bottom w:val="nil"/>
              <w:right w:val="nil"/>
            </w:tcBorders>
            <w:shd w:val="clear" w:color="000000" w:fill="F2F2F2"/>
            <w:vAlign w:val="center"/>
            <w:hideMark/>
          </w:tcPr>
          <w:p w14:paraId="66B35CE5"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Otros</w:t>
            </w:r>
          </w:p>
        </w:tc>
        <w:tc>
          <w:tcPr>
            <w:tcW w:w="1871" w:type="dxa"/>
            <w:tcBorders>
              <w:top w:val="nil"/>
              <w:left w:val="nil"/>
              <w:bottom w:val="nil"/>
              <w:right w:val="nil"/>
            </w:tcBorders>
            <w:shd w:val="clear" w:color="000000" w:fill="F2F2F2"/>
            <w:vAlign w:val="center"/>
            <w:hideMark/>
          </w:tcPr>
          <w:p w14:paraId="09FFAF29"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429,110.1</w:t>
            </w:r>
          </w:p>
        </w:tc>
        <w:tc>
          <w:tcPr>
            <w:tcW w:w="1871" w:type="dxa"/>
            <w:tcBorders>
              <w:top w:val="nil"/>
              <w:left w:val="nil"/>
              <w:bottom w:val="nil"/>
              <w:right w:val="nil"/>
            </w:tcBorders>
            <w:shd w:val="clear" w:color="000000" w:fill="F2F2F2"/>
            <w:vAlign w:val="center"/>
            <w:hideMark/>
          </w:tcPr>
          <w:p w14:paraId="30EF75F0"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0.0</w:t>
            </w:r>
          </w:p>
        </w:tc>
      </w:tr>
      <w:tr w:rsidR="00495AF7" w:rsidRPr="00495AF7" w14:paraId="544DCD8B" w14:textId="77777777" w:rsidTr="00495AF7">
        <w:trPr>
          <w:trHeight w:val="253"/>
          <w:jc w:val="center"/>
        </w:trPr>
        <w:tc>
          <w:tcPr>
            <w:tcW w:w="6318" w:type="dxa"/>
            <w:tcBorders>
              <w:top w:val="nil"/>
              <w:left w:val="nil"/>
              <w:bottom w:val="nil"/>
              <w:right w:val="nil"/>
            </w:tcBorders>
            <w:shd w:val="clear" w:color="000000" w:fill="F2F2F2"/>
            <w:vAlign w:val="center"/>
            <w:hideMark/>
          </w:tcPr>
          <w:p w14:paraId="37BE500C" w14:textId="77777777" w:rsidR="00495AF7" w:rsidRPr="00495AF7" w:rsidRDefault="00495AF7" w:rsidP="00495AF7">
            <w:pPr>
              <w:spacing w:after="0" w:line="240" w:lineRule="auto"/>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Compensaciones Servicio Social y Prácticas Profesionales</w:t>
            </w:r>
          </w:p>
        </w:tc>
        <w:tc>
          <w:tcPr>
            <w:tcW w:w="1871" w:type="dxa"/>
            <w:tcBorders>
              <w:top w:val="nil"/>
              <w:left w:val="nil"/>
              <w:bottom w:val="nil"/>
              <w:right w:val="nil"/>
            </w:tcBorders>
            <w:shd w:val="clear" w:color="000000" w:fill="F2F2F2"/>
            <w:vAlign w:val="center"/>
            <w:hideMark/>
          </w:tcPr>
          <w:p w14:paraId="1B11B933"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0.0</w:t>
            </w:r>
          </w:p>
        </w:tc>
        <w:tc>
          <w:tcPr>
            <w:tcW w:w="1871" w:type="dxa"/>
            <w:tcBorders>
              <w:top w:val="nil"/>
              <w:left w:val="nil"/>
              <w:bottom w:val="nil"/>
              <w:right w:val="nil"/>
            </w:tcBorders>
            <w:shd w:val="clear" w:color="000000" w:fill="F2F2F2"/>
            <w:vAlign w:val="center"/>
            <w:hideMark/>
          </w:tcPr>
          <w:p w14:paraId="11FA8F07" w14:textId="77777777" w:rsidR="00495AF7" w:rsidRPr="00495AF7" w:rsidRDefault="00495AF7" w:rsidP="00495AF7">
            <w:pPr>
              <w:spacing w:after="0" w:line="240" w:lineRule="auto"/>
              <w:jc w:val="right"/>
              <w:rPr>
                <w:rFonts w:ascii="Montserrat" w:eastAsia="Times New Roman" w:hAnsi="Montserrat"/>
                <w:color w:val="000000"/>
                <w:sz w:val="15"/>
                <w:szCs w:val="15"/>
                <w:lang w:val="es-MX" w:eastAsia="es-MX"/>
              </w:rPr>
            </w:pPr>
            <w:r w:rsidRPr="00495AF7">
              <w:rPr>
                <w:rFonts w:ascii="Montserrat" w:eastAsia="Times New Roman" w:hAnsi="Montserrat"/>
                <w:color w:val="000000"/>
                <w:sz w:val="15"/>
                <w:szCs w:val="15"/>
                <w:lang w:val="es-MX" w:eastAsia="es-MX"/>
              </w:rPr>
              <w:t>29,600.0</w:t>
            </w:r>
          </w:p>
        </w:tc>
      </w:tr>
      <w:tr w:rsidR="00495AF7" w:rsidRPr="00495AF7" w14:paraId="3C544968" w14:textId="77777777" w:rsidTr="00495AF7">
        <w:trPr>
          <w:trHeight w:val="265"/>
          <w:jc w:val="center"/>
        </w:trPr>
        <w:tc>
          <w:tcPr>
            <w:tcW w:w="6318" w:type="dxa"/>
            <w:tcBorders>
              <w:top w:val="nil"/>
              <w:left w:val="nil"/>
              <w:bottom w:val="single" w:sz="12" w:space="0" w:color="808080"/>
              <w:right w:val="nil"/>
            </w:tcBorders>
            <w:shd w:val="clear" w:color="000000" w:fill="F2F2F2"/>
            <w:vAlign w:val="center"/>
            <w:hideMark/>
          </w:tcPr>
          <w:p w14:paraId="47D32AB5" w14:textId="77777777" w:rsidR="00495AF7" w:rsidRPr="00495AF7" w:rsidRDefault="00495AF7" w:rsidP="00495AF7">
            <w:pPr>
              <w:spacing w:after="0" w:line="240" w:lineRule="auto"/>
              <w:rPr>
                <w:rFonts w:ascii="Montserrat" w:eastAsia="Times New Roman" w:hAnsi="Montserrat"/>
                <w:b/>
                <w:bCs/>
                <w:color w:val="000000"/>
                <w:sz w:val="15"/>
                <w:szCs w:val="15"/>
                <w:lang w:val="es-MX" w:eastAsia="es-MX"/>
              </w:rPr>
            </w:pPr>
            <w:r w:rsidRPr="00495AF7">
              <w:rPr>
                <w:rFonts w:ascii="Montserrat" w:eastAsia="Times New Roman" w:hAnsi="Montserrat"/>
                <w:b/>
                <w:bCs/>
                <w:color w:val="000000"/>
                <w:sz w:val="15"/>
                <w:szCs w:val="15"/>
                <w:lang w:val="es-MX" w:eastAsia="es-MX"/>
              </w:rPr>
              <w:t xml:space="preserve">Total Transferencias Otorgadas por Pagar a Corto Plazo </w:t>
            </w:r>
          </w:p>
        </w:tc>
        <w:tc>
          <w:tcPr>
            <w:tcW w:w="1871" w:type="dxa"/>
            <w:tcBorders>
              <w:top w:val="nil"/>
              <w:left w:val="nil"/>
              <w:bottom w:val="single" w:sz="12" w:space="0" w:color="808080"/>
              <w:right w:val="nil"/>
            </w:tcBorders>
            <w:shd w:val="clear" w:color="000000" w:fill="F2F2F2"/>
            <w:vAlign w:val="center"/>
            <w:hideMark/>
          </w:tcPr>
          <w:p w14:paraId="0B1A3A19" w14:textId="77777777" w:rsidR="00495AF7" w:rsidRPr="00495AF7" w:rsidRDefault="00495AF7" w:rsidP="00495AF7">
            <w:pPr>
              <w:spacing w:after="0" w:line="240" w:lineRule="auto"/>
              <w:jc w:val="right"/>
              <w:rPr>
                <w:rFonts w:ascii="Montserrat" w:eastAsia="Times New Roman" w:hAnsi="Montserrat"/>
                <w:b/>
                <w:bCs/>
                <w:color w:val="000000"/>
                <w:sz w:val="15"/>
                <w:szCs w:val="15"/>
                <w:lang w:val="es-MX" w:eastAsia="es-MX"/>
              </w:rPr>
            </w:pPr>
            <w:r w:rsidRPr="00495AF7">
              <w:rPr>
                <w:rFonts w:ascii="Montserrat" w:eastAsia="Times New Roman" w:hAnsi="Montserrat"/>
                <w:b/>
                <w:bCs/>
                <w:color w:val="000000"/>
                <w:sz w:val="15"/>
                <w:szCs w:val="15"/>
                <w:lang w:val="es-MX" w:eastAsia="es-MX"/>
              </w:rPr>
              <w:t>120,413,441.5</w:t>
            </w:r>
          </w:p>
        </w:tc>
        <w:tc>
          <w:tcPr>
            <w:tcW w:w="1871" w:type="dxa"/>
            <w:tcBorders>
              <w:top w:val="nil"/>
              <w:left w:val="nil"/>
              <w:bottom w:val="single" w:sz="12" w:space="0" w:color="808080"/>
              <w:right w:val="nil"/>
            </w:tcBorders>
            <w:shd w:val="clear" w:color="000000" w:fill="F2F2F2"/>
            <w:vAlign w:val="center"/>
            <w:hideMark/>
          </w:tcPr>
          <w:p w14:paraId="08338A7B" w14:textId="77777777" w:rsidR="00495AF7" w:rsidRPr="00495AF7" w:rsidRDefault="00495AF7" w:rsidP="00495AF7">
            <w:pPr>
              <w:spacing w:after="0" w:line="240" w:lineRule="auto"/>
              <w:jc w:val="right"/>
              <w:rPr>
                <w:rFonts w:ascii="Montserrat" w:eastAsia="Times New Roman" w:hAnsi="Montserrat"/>
                <w:b/>
                <w:bCs/>
                <w:color w:val="000000"/>
                <w:sz w:val="15"/>
                <w:szCs w:val="15"/>
                <w:lang w:val="es-MX" w:eastAsia="es-MX"/>
              </w:rPr>
            </w:pPr>
            <w:r w:rsidRPr="00495AF7">
              <w:rPr>
                <w:rFonts w:ascii="Montserrat" w:eastAsia="Times New Roman" w:hAnsi="Montserrat"/>
                <w:b/>
                <w:bCs/>
                <w:color w:val="000000"/>
                <w:sz w:val="15"/>
                <w:szCs w:val="15"/>
                <w:lang w:val="es-MX" w:eastAsia="es-MX"/>
              </w:rPr>
              <w:t>39,047,509.0</w:t>
            </w:r>
          </w:p>
        </w:tc>
      </w:tr>
    </w:tbl>
    <w:p w14:paraId="0890E184" w14:textId="77777777" w:rsidR="003F53EE" w:rsidRDefault="003F53EE" w:rsidP="007314F1">
      <w:pPr>
        <w:pStyle w:val="TEXTONORMAL"/>
        <w:ind w:left="720"/>
        <w:rPr>
          <w:lang w:val="es-MX"/>
        </w:rPr>
      </w:pPr>
    </w:p>
    <w:p w14:paraId="39284A6A" w14:textId="77777777" w:rsidR="00495AF7" w:rsidRDefault="00495AF7" w:rsidP="007314F1">
      <w:pPr>
        <w:pStyle w:val="TEXTONORMAL"/>
        <w:ind w:left="720"/>
        <w:rPr>
          <w:lang w:val="es-MX"/>
        </w:rPr>
      </w:pPr>
    </w:p>
    <w:p w14:paraId="59BB8698" w14:textId="77777777" w:rsidR="008B0428" w:rsidRPr="008B0428" w:rsidRDefault="00CF7816" w:rsidP="008B0428">
      <w:pPr>
        <w:pStyle w:val="VIETAFLECHA"/>
        <w:numPr>
          <w:ilvl w:val="1"/>
          <w:numId w:val="32"/>
        </w:numPr>
        <w:ind w:left="357" w:hanging="357"/>
      </w:pPr>
      <w:r w:rsidRPr="008142BE">
        <w:rPr>
          <w:b/>
        </w:rPr>
        <w:lastRenderedPageBreak/>
        <w:t>2.2</w:t>
      </w:r>
      <w:r>
        <w:t xml:space="preserve"> </w:t>
      </w:r>
      <w:r w:rsidR="009D5C48" w:rsidRPr="00462689">
        <w:t>Fondos y Bienes de Terceros en Garantía y/o Administración a Corto Plazo</w:t>
      </w:r>
    </w:p>
    <w:p w14:paraId="0A275701" w14:textId="77777777" w:rsidR="009D5C48" w:rsidRDefault="009C769F" w:rsidP="004B1F81">
      <w:pPr>
        <w:pStyle w:val="TEXTONORMAL"/>
      </w:pPr>
      <w:r>
        <w:t>Al 30</w:t>
      </w:r>
      <w:r w:rsidR="008B0428">
        <w:t xml:space="preserve"> de</w:t>
      </w:r>
      <w:r w:rsidR="00310F51">
        <w:t xml:space="preserve"> septiembre</w:t>
      </w:r>
      <w:r w:rsidR="008B0428">
        <w:t xml:space="preserve"> de 2022</w:t>
      </w:r>
      <w:r w:rsidR="008B0428" w:rsidRPr="000B2CE4">
        <w:t xml:space="preserve"> y</w:t>
      </w:r>
      <w:r w:rsidR="008B0428">
        <w:t xml:space="preserve"> al</w:t>
      </w:r>
      <w:r w:rsidR="008B0428" w:rsidRPr="000B2CE4">
        <w:t xml:space="preserve"> </w:t>
      </w:r>
      <w:r w:rsidR="008B0428">
        <w:t>31 de diciembre de 2021</w:t>
      </w:r>
      <w:r w:rsidR="009D5C48" w:rsidRPr="000C6CA9">
        <w:t>, este rubro se integra de la siguiente manera:</w:t>
      </w:r>
    </w:p>
    <w:p w14:paraId="2241766A" w14:textId="77777777" w:rsidR="008B0428" w:rsidRDefault="008B0428" w:rsidP="004B1F81">
      <w:pPr>
        <w:pStyle w:val="TEXTONORMAL"/>
      </w:pPr>
    </w:p>
    <w:tbl>
      <w:tblPr>
        <w:tblW w:w="10300" w:type="dxa"/>
        <w:jc w:val="center"/>
        <w:tblCellMar>
          <w:left w:w="70" w:type="dxa"/>
          <w:right w:w="70" w:type="dxa"/>
        </w:tblCellMar>
        <w:tblLook w:val="04A0" w:firstRow="1" w:lastRow="0" w:firstColumn="1" w:lastColumn="0" w:noHBand="0" w:noVBand="1"/>
      </w:tblPr>
      <w:tblGrid>
        <w:gridCol w:w="6468"/>
        <w:gridCol w:w="1916"/>
        <w:gridCol w:w="1916"/>
      </w:tblGrid>
      <w:tr w:rsidR="00490666" w:rsidRPr="00490666" w14:paraId="4B34100F" w14:textId="77777777" w:rsidTr="00490666">
        <w:trPr>
          <w:trHeight w:val="263"/>
          <w:jc w:val="center"/>
        </w:trPr>
        <w:tc>
          <w:tcPr>
            <w:tcW w:w="646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4688B10" w14:textId="77777777" w:rsidR="00490666" w:rsidRPr="00490666" w:rsidRDefault="00490666" w:rsidP="00490666">
            <w:pPr>
              <w:spacing w:after="0" w:line="240" w:lineRule="auto"/>
              <w:jc w:val="center"/>
              <w:rPr>
                <w:rFonts w:ascii="Montserrat" w:eastAsia="Times New Roman" w:hAnsi="Montserrat"/>
                <w:b/>
                <w:bCs/>
                <w:color w:val="FFFFFF"/>
                <w:sz w:val="16"/>
                <w:szCs w:val="16"/>
                <w:lang w:val="es-MX" w:eastAsia="es-MX"/>
              </w:rPr>
            </w:pPr>
            <w:r w:rsidRPr="00490666">
              <w:rPr>
                <w:rFonts w:ascii="Montserrat" w:eastAsia="Times New Roman" w:hAnsi="Montserrat"/>
                <w:b/>
                <w:bCs/>
                <w:color w:val="FFFFFF"/>
                <w:sz w:val="16"/>
                <w:szCs w:val="16"/>
                <w:lang w:val="es-MX" w:eastAsia="es-MX"/>
              </w:rPr>
              <w:t>Concepto</w:t>
            </w:r>
          </w:p>
        </w:tc>
        <w:tc>
          <w:tcPr>
            <w:tcW w:w="383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9ABB462" w14:textId="77777777" w:rsidR="00490666" w:rsidRPr="00490666" w:rsidRDefault="00490666" w:rsidP="00490666">
            <w:pPr>
              <w:spacing w:after="0" w:line="240" w:lineRule="auto"/>
              <w:jc w:val="center"/>
              <w:rPr>
                <w:rFonts w:ascii="Montserrat" w:eastAsia="Times New Roman" w:hAnsi="Montserrat"/>
                <w:b/>
                <w:bCs/>
                <w:color w:val="FFFFFF"/>
                <w:sz w:val="16"/>
                <w:szCs w:val="16"/>
                <w:lang w:val="es-MX" w:eastAsia="es-MX"/>
              </w:rPr>
            </w:pPr>
            <w:r w:rsidRPr="00490666">
              <w:rPr>
                <w:rFonts w:ascii="Montserrat" w:eastAsia="Times New Roman" w:hAnsi="Montserrat"/>
                <w:b/>
                <w:bCs/>
                <w:color w:val="FFFFFF"/>
                <w:sz w:val="16"/>
                <w:szCs w:val="16"/>
                <w:lang w:val="es-MX" w:eastAsia="es-MX"/>
              </w:rPr>
              <w:t>Cifras en pesos</w:t>
            </w:r>
          </w:p>
        </w:tc>
      </w:tr>
      <w:tr w:rsidR="00490666" w:rsidRPr="00490666" w14:paraId="62729BA1" w14:textId="77777777" w:rsidTr="00490666">
        <w:trPr>
          <w:trHeight w:val="263"/>
          <w:jc w:val="center"/>
        </w:trPr>
        <w:tc>
          <w:tcPr>
            <w:tcW w:w="6468" w:type="dxa"/>
            <w:vMerge/>
            <w:tcBorders>
              <w:top w:val="single" w:sz="12" w:space="0" w:color="808080"/>
              <w:left w:val="single" w:sz="12" w:space="0" w:color="FFFFFF"/>
              <w:bottom w:val="double" w:sz="6" w:space="0" w:color="808080"/>
              <w:right w:val="single" w:sz="12" w:space="0" w:color="FFFFFF"/>
            </w:tcBorders>
            <w:vAlign w:val="center"/>
            <w:hideMark/>
          </w:tcPr>
          <w:p w14:paraId="2758DE0D" w14:textId="77777777" w:rsidR="00490666" w:rsidRPr="00490666" w:rsidRDefault="00490666" w:rsidP="00490666">
            <w:pPr>
              <w:spacing w:after="0" w:line="240" w:lineRule="auto"/>
              <w:rPr>
                <w:rFonts w:ascii="Montserrat" w:eastAsia="Times New Roman" w:hAnsi="Montserrat"/>
                <w:b/>
                <w:bCs/>
                <w:color w:val="FFFFFF"/>
                <w:sz w:val="16"/>
                <w:szCs w:val="16"/>
                <w:lang w:val="es-MX" w:eastAsia="es-MX"/>
              </w:rPr>
            </w:pPr>
          </w:p>
        </w:tc>
        <w:tc>
          <w:tcPr>
            <w:tcW w:w="1916" w:type="dxa"/>
            <w:tcBorders>
              <w:top w:val="nil"/>
              <w:left w:val="nil"/>
              <w:bottom w:val="double" w:sz="6" w:space="0" w:color="808080"/>
              <w:right w:val="single" w:sz="12" w:space="0" w:color="FFFFFF"/>
            </w:tcBorders>
            <w:shd w:val="clear" w:color="000000" w:fill="D4C19C"/>
            <w:vAlign w:val="center"/>
            <w:hideMark/>
          </w:tcPr>
          <w:p w14:paraId="174B60F5" w14:textId="77777777" w:rsidR="00490666" w:rsidRPr="00490666" w:rsidRDefault="00490666" w:rsidP="00490666">
            <w:pPr>
              <w:spacing w:after="0" w:line="240" w:lineRule="auto"/>
              <w:jc w:val="center"/>
              <w:rPr>
                <w:rFonts w:ascii="Montserrat" w:eastAsia="Times New Roman" w:hAnsi="Montserrat"/>
                <w:b/>
                <w:bCs/>
                <w:color w:val="FFFFFF"/>
                <w:sz w:val="16"/>
                <w:szCs w:val="16"/>
                <w:lang w:val="es-MX" w:eastAsia="es-MX"/>
              </w:rPr>
            </w:pPr>
            <w:r w:rsidRPr="00490666">
              <w:rPr>
                <w:rFonts w:ascii="Montserrat" w:eastAsia="Times New Roman" w:hAnsi="Montserrat"/>
                <w:b/>
                <w:bCs/>
                <w:color w:val="FFFFFF"/>
                <w:sz w:val="16"/>
                <w:szCs w:val="16"/>
                <w:lang w:val="es-MX" w:eastAsia="es-MX"/>
              </w:rPr>
              <w:t>2022</w:t>
            </w:r>
          </w:p>
        </w:tc>
        <w:tc>
          <w:tcPr>
            <w:tcW w:w="1916" w:type="dxa"/>
            <w:tcBorders>
              <w:top w:val="nil"/>
              <w:left w:val="nil"/>
              <w:bottom w:val="double" w:sz="6" w:space="0" w:color="808080"/>
              <w:right w:val="single" w:sz="12" w:space="0" w:color="FFFFFF"/>
            </w:tcBorders>
            <w:shd w:val="clear" w:color="000000" w:fill="D4C19C"/>
            <w:vAlign w:val="center"/>
            <w:hideMark/>
          </w:tcPr>
          <w:p w14:paraId="41D34E60" w14:textId="77777777" w:rsidR="00490666" w:rsidRPr="00490666" w:rsidRDefault="00490666" w:rsidP="00490666">
            <w:pPr>
              <w:spacing w:after="0" w:line="240" w:lineRule="auto"/>
              <w:jc w:val="center"/>
              <w:rPr>
                <w:rFonts w:ascii="Montserrat" w:eastAsia="Times New Roman" w:hAnsi="Montserrat"/>
                <w:b/>
                <w:bCs/>
                <w:color w:val="FFFFFF"/>
                <w:sz w:val="16"/>
                <w:szCs w:val="16"/>
                <w:lang w:val="es-MX" w:eastAsia="es-MX"/>
              </w:rPr>
            </w:pPr>
            <w:r w:rsidRPr="00490666">
              <w:rPr>
                <w:rFonts w:ascii="Montserrat" w:eastAsia="Times New Roman" w:hAnsi="Montserrat"/>
                <w:b/>
                <w:bCs/>
                <w:color w:val="FFFFFF"/>
                <w:sz w:val="16"/>
                <w:szCs w:val="16"/>
                <w:lang w:val="es-MX" w:eastAsia="es-MX"/>
              </w:rPr>
              <w:t>2021</w:t>
            </w:r>
          </w:p>
        </w:tc>
      </w:tr>
      <w:tr w:rsidR="00490666" w:rsidRPr="00490666" w14:paraId="0809D404" w14:textId="77777777" w:rsidTr="00490666">
        <w:trPr>
          <w:trHeight w:val="250"/>
          <w:jc w:val="center"/>
        </w:trPr>
        <w:tc>
          <w:tcPr>
            <w:tcW w:w="6468" w:type="dxa"/>
            <w:tcBorders>
              <w:top w:val="nil"/>
              <w:left w:val="nil"/>
              <w:bottom w:val="nil"/>
              <w:right w:val="nil"/>
            </w:tcBorders>
            <w:shd w:val="clear" w:color="000000" w:fill="F2F2F2"/>
            <w:vAlign w:val="center"/>
            <w:hideMark/>
          </w:tcPr>
          <w:p w14:paraId="61C958C3"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Pensiones del Gobierno Federal</w:t>
            </w:r>
          </w:p>
        </w:tc>
        <w:tc>
          <w:tcPr>
            <w:tcW w:w="1916" w:type="dxa"/>
            <w:tcBorders>
              <w:top w:val="nil"/>
              <w:left w:val="nil"/>
              <w:bottom w:val="nil"/>
              <w:right w:val="nil"/>
            </w:tcBorders>
            <w:shd w:val="clear" w:color="000000" w:fill="F2F2F2"/>
            <w:vAlign w:val="center"/>
            <w:hideMark/>
          </w:tcPr>
          <w:p w14:paraId="045F128D"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38,417,919,744.5</w:t>
            </w:r>
          </w:p>
        </w:tc>
        <w:tc>
          <w:tcPr>
            <w:tcW w:w="1916" w:type="dxa"/>
            <w:tcBorders>
              <w:top w:val="nil"/>
              <w:left w:val="nil"/>
              <w:bottom w:val="nil"/>
              <w:right w:val="nil"/>
            </w:tcBorders>
            <w:shd w:val="clear" w:color="000000" w:fill="F2F2F2"/>
            <w:vAlign w:val="center"/>
            <w:hideMark/>
          </w:tcPr>
          <w:p w14:paraId="4E57594E"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256,192,494.9</w:t>
            </w:r>
          </w:p>
        </w:tc>
      </w:tr>
      <w:tr w:rsidR="00490666" w:rsidRPr="00490666" w14:paraId="01B14376" w14:textId="77777777" w:rsidTr="00490666">
        <w:trPr>
          <w:trHeight w:val="239"/>
          <w:jc w:val="center"/>
        </w:trPr>
        <w:tc>
          <w:tcPr>
            <w:tcW w:w="6468" w:type="dxa"/>
            <w:tcBorders>
              <w:top w:val="nil"/>
              <w:left w:val="nil"/>
              <w:bottom w:val="nil"/>
              <w:right w:val="nil"/>
            </w:tcBorders>
            <w:shd w:val="clear" w:color="000000" w:fill="F2F2F2"/>
            <w:vAlign w:val="center"/>
            <w:hideMark/>
          </w:tcPr>
          <w:p w14:paraId="7C174649"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IMSS-BIENESTAR</w:t>
            </w:r>
          </w:p>
        </w:tc>
        <w:tc>
          <w:tcPr>
            <w:tcW w:w="1916" w:type="dxa"/>
            <w:tcBorders>
              <w:top w:val="nil"/>
              <w:left w:val="nil"/>
              <w:bottom w:val="nil"/>
              <w:right w:val="nil"/>
            </w:tcBorders>
            <w:shd w:val="clear" w:color="000000" w:fill="F2F2F2"/>
            <w:vAlign w:val="center"/>
            <w:hideMark/>
          </w:tcPr>
          <w:p w14:paraId="23F05E80"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4,584,749,996.2</w:t>
            </w:r>
          </w:p>
        </w:tc>
        <w:tc>
          <w:tcPr>
            <w:tcW w:w="1916" w:type="dxa"/>
            <w:tcBorders>
              <w:top w:val="nil"/>
              <w:left w:val="nil"/>
              <w:bottom w:val="nil"/>
              <w:right w:val="nil"/>
            </w:tcBorders>
            <w:shd w:val="clear" w:color="000000" w:fill="F2F2F2"/>
            <w:vAlign w:val="center"/>
            <w:hideMark/>
          </w:tcPr>
          <w:p w14:paraId="57661144"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1,008,561,489.1</w:t>
            </w:r>
          </w:p>
        </w:tc>
      </w:tr>
      <w:tr w:rsidR="00490666" w:rsidRPr="00490666" w14:paraId="2F93742C" w14:textId="77777777" w:rsidTr="00490666">
        <w:trPr>
          <w:trHeight w:val="239"/>
          <w:jc w:val="center"/>
        </w:trPr>
        <w:tc>
          <w:tcPr>
            <w:tcW w:w="6468" w:type="dxa"/>
            <w:tcBorders>
              <w:top w:val="nil"/>
              <w:left w:val="nil"/>
              <w:bottom w:val="nil"/>
              <w:right w:val="nil"/>
            </w:tcBorders>
            <w:shd w:val="clear" w:color="000000" w:fill="F2F2F2"/>
            <w:vAlign w:val="center"/>
            <w:hideMark/>
          </w:tcPr>
          <w:p w14:paraId="0875AC9C"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 xml:space="preserve">Fondo de Fomento a la Educación </w:t>
            </w:r>
          </w:p>
        </w:tc>
        <w:tc>
          <w:tcPr>
            <w:tcW w:w="1916" w:type="dxa"/>
            <w:tcBorders>
              <w:top w:val="nil"/>
              <w:left w:val="nil"/>
              <w:bottom w:val="nil"/>
              <w:right w:val="nil"/>
            </w:tcBorders>
            <w:shd w:val="clear" w:color="000000" w:fill="F2F2F2"/>
            <w:vAlign w:val="center"/>
            <w:hideMark/>
          </w:tcPr>
          <w:p w14:paraId="256B8CA1"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919,303,137.9</w:t>
            </w:r>
          </w:p>
        </w:tc>
        <w:tc>
          <w:tcPr>
            <w:tcW w:w="1916" w:type="dxa"/>
            <w:tcBorders>
              <w:top w:val="nil"/>
              <w:left w:val="nil"/>
              <w:bottom w:val="nil"/>
              <w:right w:val="nil"/>
            </w:tcBorders>
            <w:shd w:val="clear" w:color="000000" w:fill="F2F2F2"/>
            <w:vAlign w:val="center"/>
            <w:hideMark/>
          </w:tcPr>
          <w:p w14:paraId="29FED08D"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908,064,836.3</w:t>
            </w:r>
          </w:p>
        </w:tc>
      </w:tr>
      <w:tr w:rsidR="00490666" w:rsidRPr="00490666" w14:paraId="55C9D399" w14:textId="77777777" w:rsidTr="00490666">
        <w:trPr>
          <w:trHeight w:val="239"/>
          <w:jc w:val="center"/>
        </w:trPr>
        <w:tc>
          <w:tcPr>
            <w:tcW w:w="6468" w:type="dxa"/>
            <w:tcBorders>
              <w:top w:val="nil"/>
              <w:left w:val="nil"/>
              <w:bottom w:val="nil"/>
              <w:right w:val="nil"/>
            </w:tcBorders>
            <w:shd w:val="clear" w:color="000000" w:fill="F2F2F2"/>
            <w:vAlign w:val="center"/>
            <w:hideMark/>
          </w:tcPr>
          <w:p w14:paraId="46DC8DFE"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 xml:space="preserve">Fondo Ayuda Extraordinaria Guardería ABC </w:t>
            </w:r>
          </w:p>
        </w:tc>
        <w:tc>
          <w:tcPr>
            <w:tcW w:w="1916" w:type="dxa"/>
            <w:tcBorders>
              <w:top w:val="nil"/>
              <w:left w:val="nil"/>
              <w:bottom w:val="nil"/>
              <w:right w:val="nil"/>
            </w:tcBorders>
            <w:shd w:val="clear" w:color="000000" w:fill="F2F2F2"/>
            <w:vAlign w:val="center"/>
            <w:hideMark/>
          </w:tcPr>
          <w:p w14:paraId="16402ED7"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90,972,062.3</w:t>
            </w:r>
          </w:p>
        </w:tc>
        <w:tc>
          <w:tcPr>
            <w:tcW w:w="1916" w:type="dxa"/>
            <w:tcBorders>
              <w:top w:val="nil"/>
              <w:left w:val="nil"/>
              <w:bottom w:val="nil"/>
              <w:right w:val="nil"/>
            </w:tcBorders>
            <w:shd w:val="clear" w:color="000000" w:fill="F2F2F2"/>
            <w:vAlign w:val="center"/>
            <w:hideMark/>
          </w:tcPr>
          <w:p w14:paraId="3751BCEE"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72,710,706.7</w:t>
            </w:r>
          </w:p>
        </w:tc>
      </w:tr>
      <w:tr w:rsidR="00490666" w:rsidRPr="00490666" w14:paraId="68AB5CCB" w14:textId="77777777" w:rsidTr="00490666">
        <w:trPr>
          <w:trHeight w:val="239"/>
          <w:jc w:val="center"/>
        </w:trPr>
        <w:tc>
          <w:tcPr>
            <w:tcW w:w="6468" w:type="dxa"/>
            <w:tcBorders>
              <w:top w:val="nil"/>
              <w:left w:val="nil"/>
              <w:bottom w:val="nil"/>
              <w:right w:val="nil"/>
            </w:tcBorders>
            <w:shd w:val="clear" w:color="000000" w:fill="F2F2F2"/>
            <w:vAlign w:val="center"/>
            <w:hideMark/>
          </w:tcPr>
          <w:p w14:paraId="3AC765F4"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 xml:space="preserve">INSABI </w:t>
            </w:r>
            <w:r w:rsidRPr="00490666">
              <w:rPr>
                <w:rFonts w:ascii="Montserrat" w:eastAsia="Times New Roman" w:hAnsi="Montserrat"/>
                <w:b/>
                <w:bCs/>
                <w:color w:val="000000"/>
                <w:sz w:val="15"/>
                <w:szCs w:val="15"/>
                <w:lang w:val="es-MX" w:eastAsia="es-MX"/>
              </w:rPr>
              <w:t>(2.2.a)</w:t>
            </w:r>
          </w:p>
        </w:tc>
        <w:tc>
          <w:tcPr>
            <w:tcW w:w="1916" w:type="dxa"/>
            <w:tcBorders>
              <w:top w:val="nil"/>
              <w:left w:val="nil"/>
              <w:bottom w:val="nil"/>
              <w:right w:val="nil"/>
            </w:tcBorders>
            <w:shd w:val="clear" w:color="000000" w:fill="F2F2F2"/>
            <w:vAlign w:val="center"/>
            <w:hideMark/>
          </w:tcPr>
          <w:p w14:paraId="0E9F2586"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255,203.7</w:t>
            </w:r>
          </w:p>
        </w:tc>
        <w:tc>
          <w:tcPr>
            <w:tcW w:w="1916" w:type="dxa"/>
            <w:tcBorders>
              <w:top w:val="nil"/>
              <w:left w:val="nil"/>
              <w:bottom w:val="nil"/>
              <w:right w:val="nil"/>
            </w:tcBorders>
            <w:shd w:val="clear" w:color="000000" w:fill="F2F2F2"/>
            <w:vAlign w:val="center"/>
            <w:hideMark/>
          </w:tcPr>
          <w:p w14:paraId="0A6F3E08"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16,093,189.0</w:t>
            </w:r>
          </w:p>
        </w:tc>
      </w:tr>
      <w:tr w:rsidR="00490666" w:rsidRPr="00490666" w14:paraId="17743BF5" w14:textId="77777777" w:rsidTr="00490666">
        <w:trPr>
          <w:trHeight w:val="239"/>
          <w:jc w:val="center"/>
        </w:trPr>
        <w:tc>
          <w:tcPr>
            <w:tcW w:w="6468" w:type="dxa"/>
            <w:tcBorders>
              <w:top w:val="nil"/>
              <w:left w:val="nil"/>
              <w:bottom w:val="nil"/>
              <w:right w:val="nil"/>
            </w:tcBorders>
            <w:shd w:val="clear" w:color="000000" w:fill="F2F2F2"/>
            <w:vAlign w:val="center"/>
            <w:hideMark/>
          </w:tcPr>
          <w:p w14:paraId="1113D82D"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Premio de Calidad</w:t>
            </w:r>
          </w:p>
        </w:tc>
        <w:tc>
          <w:tcPr>
            <w:tcW w:w="1916" w:type="dxa"/>
            <w:tcBorders>
              <w:top w:val="nil"/>
              <w:left w:val="nil"/>
              <w:bottom w:val="nil"/>
              <w:right w:val="nil"/>
            </w:tcBorders>
            <w:shd w:val="clear" w:color="000000" w:fill="F2F2F2"/>
            <w:vAlign w:val="center"/>
            <w:hideMark/>
          </w:tcPr>
          <w:p w14:paraId="4158F690"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71.9</w:t>
            </w:r>
          </w:p>
        </w:tc>
        <w:tc>
          <w:tcPr>
            <w:tcW w:w="1916" w:type="dxa"/>
            <w:tcBorders>
              <w:top w:val="nil"/>
              <w:left w:val="nil"/>
              <w:bottom w:val="nil"/>
              <w:right w:val="nil"/>
            </w:tcBorders>
            <w:shd w:val="clear" w:color="000000" w:fill="F2F2F2"/>
            <w:vAlign w:val="center"/>
            <w:hideMark/>
          </w:tcPr>
          <w:p w14:paraId="0CF7BF58"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71.1</w:t>
            </w:r>
          </w:p>
        </w:tc>
      </w:tr>
      <w:tr w:rsidR="00490666" w:rsidRPr="00490666" w14:paraId="25E3E81C" w14:textId="77777777" w:rsidTr="00490666">
        <w:trPr>
          <w:trHeight w:val="239"/>
          <w:jc w:val="center"/>
        </w:trPr>
        <w:tc>
          <w:tcPr>
            <w:tcW w:w="6468" w:type="dxa"/>
            <w:tcBorders>
              <w:top w:val="nil"/>
              <w:left w:val="nil"/>
              <w:bottom w:val="nil"/>
              <w:right w:val="nil"/>
            </w:tcBorders>
            <w:shd w:val="clear" w:color="000000" w:fill="F2F2F2"/>
            <w:vAlign w:val="center"/>
            <w:hideMark/>
          </w:tcPr>
          <w:p w14:paraId="612CE731" w14:textId="77777777" w:rsidR="00490666" w:rsidRPr="00490666" w:rsidRDefault="00490666" w:rsidP="00490666">
            <w:pPr>
              <w:spacing w:after="0" w:line="240" w:lineRule="auto"/>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Otros</w:t>
            </w:r>
          </w:p>
        </w:tc>
        <w:tc>
          <w:tcPr>
            <w:tcW w:w="1916" w:type="dxa"/>
            <w:tcBorders>
              <w:top w:val="nil"/>
              <w:left w:val="nil"/>
              <w:bottom w:val="nil"/>
              <w:right w:val="nil"/>
            </w:tcBorders>
            <w:shd w:val="clear" w:color="000000" w:fill="F2F2F2"/>
            <w:vAlign w:val="center"/>
            <w:hideMark/>
          </w:tcPr>
          <w:p w14:paraId="12AE1DB1"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39,434,303.6</w:t>
            </w:r>
          </w:p>
        </w:tc>
        <w:tc>
          <w:tcPr>
            <w:tcW w:w="1916" w:type="dxa"/>
            <w:tcBorders>
              <w:top w:val="nil"/>
              <w:left w:val="nil"/>
              <w:bottom w:val="nil"/>
              <w:right w:val="nil"/>
            </w:tcBorders>
            <w:shd w:val="clear" w:color="000000" w:fill="F2F2F2"/>
            <w:vAlign w:val="center"/>
            <w:hideMark/>
          </w:tcPr>
          <w:p w14:paraId="3CB5CF71" w14:textId="77777777" w:rsidR="00490666" w:rsidRPr="00490666" w:rsidRDefault="00490666" w:rsidP="00490666">
            <w:pPr>
              <w:spacing w:after="0" w:line="240" w:lineRule="auto"/>
              <w:jc w:val="right"/>
              <w:rPr>
                <w:rFonts w:ascii="Montserrat" w:eastAsia="Times New Roman" w:hAnsi="Montserrat"/>
                <w:color w:val="000000"/>
                <w:sz w:val="15"/>
                <w:szCs w:val="15"/>
                <w:lang w:val="es-MX" w:eastAsia="es-MX"/>
              </w:rPr>
            </w:pPr>
            <w:r w:rsidRPr="00490666">
              <w:rPr>
                <w:rFonts w:ascii="Montserrat" w:eastAsia="Times New Roman" w:hAnsi="Montserrat"/>
                <w:color w:val="000000"/>
                <w:sz w:val="15"/>
                <w:szCs w:val="15"/>
                <w:lang w:val="es-MX" w:eastAsia="es-MX"/>
              </w:rPr>
              <w:t>0.0</w:t>
            </w:r>
          </w:p>
        </w:tc>
      </w:tr>
      <w:tr w:rsidR="00490666" w:rsidRPr="00490666" w14:paraId="426F966C" w14:textId="77777777" w:rsidTr="00490666">
        <w:trPr>
          <w:trHeight w:val="323"/>
          <w:jc w:val="center"/>
        </w:trPr>
        <w:tc>
          <w:tcPr>
            <w:tcW w:w="6468" w:type="dxa"/>
            <w:tcBorders>
              <w:top w:val="nil"/>
              <w:left w:val="nil"/>
              <w:bottom w:val="single" w:sz="12" w:space="0" w:color="808080"/>
              <w:right w:val="nil"/>
            </w:tcBorders>
            <w:shd w:val="clear" w:color="000000" w:fill="F2F2F2"/>
            <w:vAlign w:val="center"/>
            <w:hideMark/>
          </w:tcPr>
          <w:p w14:paraId="334C4DA5" w14:textId="77777777" w:rsidR="00490666" w:rsidRPr="00490666" w:rsidRDefault="00490666" w:rsidP="00490666">
            <w:pPr>
              <w:spacing w:after="0" w:line="240" w:lineRule="auto"/>
              <w:rPr>
                <w:rFonts w:ascii="Montserrat" w:eastAsia="Times New Roman" w:hAnsi="Montserrat"/>
                <w:b/>
                <w:bCs/>
                <w:color w:val="000000"/>
                <w:sz w:val="15"/>
                <w:szCs w:val="15"/>
                <w:lang w:val="es-MX" w:eastAsia="es-MX"/>
              </w:rPr>
            </w:pPr>
            <w:r w:rsidRPr="00490666">
              <w:rPr>
                <w:rFonts w:ascii="Montserrat" w:eastAsia="Times New Roman" w:hAnsi="Montserrat"/>
                <w:b/>
                <w:bCs/>
                <w:color w:val="000000"/>
                <w:sz w:val="15"/>
                <w:szCs w:val="15"/>
                <w:lang w:val="es-MX" w:eastAsia="es-MX"/>
              </w:rPr>
              <w:t>Total Fondos y Bienes de Terceros en Garantía y/o Administración a Corto Plazo</w:t>
            </w:r>
          </w:p>
        </w:tc>
        <w:tc>
          <w:tcPr>
            <w:tcW w:w="1916" w:type="dxa"/>
            <w:tcBorders>
              <w:top w:val="nil"/>
              <w:left w:val="nil"/>
              <w:bottom w:val="single" w:sz="12" w:space="0" w:color="808080"/>
              <w:right w:val="nil"/>
            </w:tcBorders>
            <w:shd w:val="clear" w:color="000000" w:fill="F2F2F2"/>
            <w:vAlign w:val="center"/>
            <w:hideMark/>
          </w:tcPr>
          <w:p w14:paraId="114B73C2" w14:textId="77777777" w:rsidR="00490666" w:rsidRPr="00490666" w:rsidRDefault="00490666" w:rsidP="00490666">
            <w:pPr>
              <w:spacing w:after="0" w:line="240" w:lineRule="auto"/>
              <w:jc w:val="right"/>
              <w:rPr>
                <w:rFonts w:ascii="Montserrat" w:eastAsia="Times New Roman" w:hAnsi="Montserrat"/>
                <w:b/>
                <w:bCs/>
                <w:color w:val="000000"/>
                <w:sz w:val="15"/>
                <w:szCs w:val="15"/>
                <w:lang w:val="es-MX" w:eastAsia="es-MX"/>
              </w:rPr>
            </w:pPr>
            <w:r w:rsidRPr="00490666">
              <w:rPr>
                <w:rFonts w:ascii="Montserrat" w:eastAsia="Times New Roman" w:hAnsi="Montserrat"/>
                <w:b/>
                <w:bCs/>
                <w:color w:val="000000"/>
                <w:sz w:val="15"/>
                <w:szCs w:val="15"/>
                <w:lang w:val="es-MX" w:eastAsia="es-MX"/>
              </w:rPr>
              <w:t>44,052,634,520.</w:t>
            </w:r>
            <w:r w:rsidR="00D95F7F">
              <w:rPr>
                <w:rFonts w:ascii="Montserrat" w:eastAsia="Times New Roman" w:hAnsi="Montserrat"/>
                <w:b/>
                <w:bCs/>
                <w:color w:val="000000"/>
                <w:sz w:val="15"/>
                <w:szCs w:val="15"/>
                <w:lang w:val="es-MX" w:eastAsia="es-MX"/>
              </w:rPr>
              <w:t>1</w:t>
            </w:r>
          </w:p>
        </w:tc>
        <w:tc>
          <w:tcPr>
            <w:tcW w:w="1916" w:type="dxa"/>
            <w:tcBorders>
              <w:top w:val="nil"/>
              <w:left w:val="nil"/>
              <w:bottom w:val="single" w:sz="12" w:space="0" w:color="808080"/>
              <w:right w:val="nil"/>
            </w:tcBorders>
            <w:shd w:val="clear" w:color="000000" w:fill="F2F2F2"/>
            <w:vAlign w:val="center"/>
            <w:hideMark/>
          </w:tcPr>
          <w:p w14:paraId="16A49187" w14:textId="77777777" w:rsidR="00490666" w:rsidRPr="00490666" w:rsidRDefault="00490666" w:rsidP="00490666">
            <w:pPr>
              <w:spacing w:after="0" w:line="240" w:lineRule="auto"/>
              <w:jc w:val="right"/>
              <w:rPr>
                <w:rFonts w:ascii="Montserrat" w:eastAsia="Times New Roman" w:hAnsi="Montserrat"/>
                <w:b/>
                <w:bCs/>
                <w:color w:val="000000"/>
                <w:sz w:val="15"/>
                <w:szCs w:val="15"/>
                <w:lang w:val="es-MX" w:eastAsia="es-MX"/>
              </w:rPr>
            </w:pPr>
            <w:r w:rsidRPr="00490666">
              <w:rPr>
                <w:rFonts w:ascii="Montserrat" w:eastAsia="Times New Roman" w:hAnsi="Montserrat"/>
                <w:b/>
                <w:bCs/>
                <w:color w:val="000000"/>
                <w:sz w:val="15"/>
                <w:szCs w:val="15"/>
                <w:lang w:val="es-MX" w:eastAsia="es-MX"/>
              </w:rPr>
              <w:t>2,261,622,787.1</w:t>
            </w:r>
          </w:p>
        </w:tc>
      </w:tr>
    </w:tbl>
    <w:p w14:paraId="4DEA97C8" w14:textId="77777777" w:rsidR="00490666" w:rsidRDefault="00490666" w:rsidP="004B1F81">
      <w:pPr>
        <w:pStyle w:val="TEXTONORMAL"/>
      </w:pPr>
    </w:p>
    <w:p w14:paraId="3BCDB8BC" w14:textId="77777777" w:rsidR="009D5C48" w:rsidRDefault="00326A15" w:rsidP="003F2A12">
      <w:pPr>
        <w:pStyle w:val="VIETAFLECHA"/>
        <w:numPr>
          <w:ilvl w:val="0"/>
          <w:numId w:val="35"/>
        </w:numPr>
      </w:pPr>
      <w:r>
        <w:rPr>
          <w:b/>
          <w:bCs/>
        </w:rPr>
        <w:t>2.2.a</w:t>
      </w:r>
      <w:r w:rsidR="009D5C48">
        <w:rPr>
          <w:b/>
          <w:bCs/>
        </w:rPr>
        <w:t xml:space="preserve">) </w:t>
      </w:r>
      <w:r w:rsidR="00465F71">
        <w:t>El saldo al 30</w:t>
      </w:r>
      <w:r w:rsidR="009D5C48">
        <w:t xml:space="preserve"> de </w:t>
      </w:r>
      <w:r w:rsidR="00716ADD">
        <w:t>septiembre</w:t>
      </w:r>
      <w:r w:rsidR="00465F71">
        <w:t xml:space="preserve"> </w:t>
      </w:r>
      <w:r w:rsidR="009D5C48">
        <w:t>de 202</w:t>
      </w:r>
      <w:r>
        <w:t>2 y al 31 de diciembre de 2021,</w:t>
      </w:r>
      <w:r w:rsidR="009D5C48">
        <w:t xml:space="preserve"> corresponde al remanente al INSABI de los recursos no devengados y rendimientos generados en la cuenta bancaria, derivados del Convenio de Colaboración para destinar recursos financieros para complementar las necesidades de insumos para la salud, incluyendo la adquisición de equipo médico o la mejora de infraestructura física de los Hospitales Generales de Zona número 1 “Dr. Luis Ernesto Miramontes Cárdenas” en Tepic, Nayarit y Regionales Núm</w:t>
      </w:r>
      <w:r w:rsidR="00C20F51">
        <w:t>eros 1 “Charo”, Michoacán y 220 “G</w:t>
      </w:r>
      <w:r w:rsidR="009D5C48">
        <w:t>eneral José Vicente Villada”, Estado de México.</w:t>
      </w:r>
    </w:p>
    <w:p w14:paraId="5E34DF68" w14:textId="77777777" w:rsidR="00582093" w:rsidRPr="00582093" w:rsidRDefault="00582093" w:rsidP="00582093">
      <w:pPr>
        <w:pStyle w:val="TEXTONORMAL"/>
      </w:pPr>
    </w:p>
    <w:p w14:paraId="2D6B9431" w14:textId="77777777" w:rsidR="009D5C48" w:rsidRPr="008804BE" w:rsidRDefault="00CF7816" w:rsidP="003F2A12">
      <w:pPr>
        <w:pStyle w:val="VIETAFLECHA"/>
        <w:numPr>
          <w:ilvl w:val="1"/>
          <w:numId w:val="32"/>
        </w:numPr>
        <w:ind w:left="357" w:hanging="357"/>
      </w:pPr>
      <w:r w:rsidRPr="008804BE">
        <w:rPr>
          <w:b/>
        </w:rPr>
        <w:t>2.3</w:t>
      </w:r>
      <w:r w:rsidRPr="008804BE">
        <w:t xml:space="preserve"> </w:t>
      </w:r>
      <w:r w:rsidR="009D5C48" w:rsidRPr="008804BE">
        <w:t>Provisiones a Corto Plazo</w:t>
      </w:r>
    </w:p>
    <w:p w14:paraId="1320D580" w14:textId="77777777" w:rsidR="009D5C48" w:rsidRDefault="00706E3A" w:rsidP="004B1F81">
      <w:pPr>
        <w:pStyle w:val="NormalWeb"/>
        <w:spacing w:before="0" w:beforeAutospacing="0" w:after="120" w:afterAutospacing="0" w:line="250" w:lineRule="exact"/>
        <w:jc w:val="both"/>
        <w:rPr>
          <w:rFonts w:ascii="Montserrat" w:eastAsia="Calibri" w:hAnsi="Montserrat"/>
          <w:sz w:val="18"/>
          <w:szCs w:val="18"/>
          <w:lang w:val="es-ES" w:eastAsia="en-US"/>
        </w:rPr>
      </w:pPr>
      <w:r>
        <w:rPr>
          <w:rFonts w:ascii="Montserrat" w:eastAsia="Calibri" w:hAnsi="Montserrat"/>
          <w:sz w:val="18"/>
          <w:szCs w:val="18"/>
          <w:lang w:val="es-ES" w:eastAsia="en-US"/>
        </w:rPr>
        <w:t>Al 30 de septiembre</w:t>
      </w:r>
      <w:r w:rsidR="00C92890" w:rsidRPr="00C92890">
        <w:rPr>
          <w:rFonts w:ascii="Montserrat" w:eastAsia="Calibri" w:hAnsi="Montserrat"/>
          <w:sz w:val="18"/>
          <w:szCs w:val="18"/>
          <w:lang w:val="es-ES" w:eastAsia="en-US"/>
        </w:rPr>
        <w:t xml:space="preserve"> de 2022 y al 31 de diciembre de 2021</w:t>
      </w:r>
      <w:r w:rsidR="009D5C48" w:rsidRPr="00587C3A">
        <w:rPr>
          <w:rFonts w:ascii="Montserrat" w:eastAsia="Calibri" w:hAnsi="Montserrat"/>
          <w:sz w:val="18"/>
          <w:szCs w:val="18"/>
          <w:lang w:val="es-ES" w:eastAsia="en-US"/>
        </w:rPr>
        <w:t>, el rubro de Provisiones a Corto Plazo equivale a</w:t>
      </w:r>
      <w:r w:rsidR="00C92890">
        <w:rPr>
          <w:rFonts w:ascii="Montserrat" w:eastAsia="Calibri" w:hAnsi="Montserrat"/>
          <w:sz w:val="18"/>
          <w:szCs w:val="18"/>
          <w:lang w:val="es-ES" w:eastAsia="en-US"/>
        </w:rPr>
        <w:t xml:space="preserve"> </w:t>
      </w:r>
      <w:r w:rsidR="008E0490">
        <w:rPr>
          <w:rFonts w:ascii="Montserrat" w:eastAsia="Calibri" w:hAnsi="Montserrat"/>
          <w:sz w:val="18"/>
          <w:szCs w:val="18"/>
          <w:lang w:val="es-ES" w:eastAsia="en-US"/>
        </w:rPr>
        <w:t>26,732,526,557.6</w:t>
      </w:r>
      <w:r w:rsidR="008E0490" w:rsidRPr="00C92890">
        <w:rPr>
          <w:rFonts w:ascii="Montserrat" w:eastAsia="Calibri" w:hAnsi="Montserrat"/>
          <w:sz w:val="18"/>
          <w:szCs w:val="18"/>
          <w:lang w:val="es-ES" w:eastAsia="en-US"/>
        </w:rPr>
        <w:t xml:space="preserve"> </w:t>
      </w:r>
      <w:r w:rsidR="008E0490" w:rsidRPr="00587C3A">
        <w:rPr>
          <w:rFonts w:ascii="Montserrat" w:eastAsia="Calibri" w:hAnsi="Montserrat"/>
          <w:sz w:val="18"/>
          <w:szCs w:val="18"/>
          <w:lang w:val="es-ES" w:eastAsia="en-US"/>
        </w:rPr>
        <w:t>pesos</w:t>
      </w:r>
      <w:r w:rsidR="00C92890">
        <w:rPr>
          <w:rFonts w:ascii="Montserrat" w:eastAsia="Calibri" w:hAnsi="Montserrat"/>
          <w:sz w:val="18"/>
          <w:szCs w:val="18"/>
          <w:lang w:val="es-ES" w:eastAsia="en-US"/>
        </w:rPr>
        <w:t xml:space="preserve"> y 11,611,836,950.7</w:t>
      </w:r>
      <w:r w:rsidR="00C92890" w:rsidRPr="00587C3A">
        <w:rPr>
          <w:rFonts w:ascii="Montserrat" w:eastAsia="Calibri" w:hAnsi="Montserrat"/>
          <w:sz w:val="18"/>
          <w:szCs w:val="18"/>
          <w:lang w:val="es-ES" w:eastAsia="en-US"/>
        </w:rPr>
        <w:t xml:space="preserve"> </w:t>
      </w:r>
      <w:r w:rsidR="009D5C48" w:rsidRPr="00587C3A">
        <w:rPr>
          <w:rFonts w:ascii="Montserrat" w:eastAsia="Calibri" w:hAnsi="Montserrat"/>
          <w:sz w:val="18"/>
          <w:szCs w:val="18"/>
          <w:lang w:val="es-ES" w:eastAsia="en-US"/>
        </w:rPr>
        <w:t>pesos</w:t>
      </w:r>
      <w:r w:rsidR="009D5C48">
        <w:rPr>
          <w:rFonts w:ascii="Montserrat" w:eastAsia="Calibri" w:hAnsi="Montserrat"/>
          <w:sz w:val="18"/>
          <w:szCs w:val="18"/>
          <w:lang w:val="es-ES" w:eastAsia="en-US"/>
        </w:rPr>
        <w:t>,</w:t>
      </w:r>
      <w:r w:rsidR="009D5C48" w:rsidRPr="00587C3A">
        <w:rPr>
          <w:rFonts w:ascii="Montserrat" w:eastAsia="Calibri" w:hAnsi="Montserrat"/>
          <w:sz w:val="18"/>
          <w:szCs w:val="18"/>
          <w:lang w:val="es-ES" w:eastAsia="en-US"/>
        </w:rPr>
        <w:t xml:space="preserve"> respectivamente, el cual se integra por provisiones de fondo de ahorro y aguinaldo, considerando el Art. 39 de la LGCG, se constituyen para hacer frente a los pasivos que se generan en el ejercicio y son revisadas y ajustadas periódicamente a fin de mantener su vigencia.</w:t>
      </w:r>
    </w:p>
    <w:p w14:paraId="6DAB3DBA" w14:textId="77777777" w:rsidR="00582093" w:rsidRDefault="00582093"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5D6C0B8B"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1503C0D2"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4C08EC4A"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0D5DAEF9"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5E0E42FF"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642D27D9" w14:textId="77777777" w:rsidR="008E0490" w:rsidRDefault="008E0490"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335E894C" w14:textId="77777777" w:rsidR="009D5C48" w:rsidRPr="00462689" w:rsidRDefault="00CF7816" w:rsidP="003F2A12">
      <w:pPr>
        <w:pStyle w:val="VIETAFLECHA"/>
        <w:numPr>
          <w:ilvl w:val="1"/>
          <w:numId w:val="32"/>
        </w:numPr>
        <w:ind w:left="357" w:hanging="357"/>
      </w:pPr>
      <w:r w:rsidRPr="008142BE">
        <w:rPr>
          <w:b/>
        </w:rPr>
        <w:lastRenderedPageBreak/>
        <w:t>2.4</w:t>
      </w:r>
      <w:r>
        <w:t xml:space="preserve"> </w:t>
      </w:r>
      <w:r w:rsidR="009D5C48" w:rsidRPr="00462689">
        <w:t>Otros Pasivos a Corto Plazo</w:t>
      </w:r>
    </w:p>
    <w:p w14:paraId="4CC5FDCD" w14:textId="77777777" w:rsidR="009D5C48" w:rsidRDefault="00CF029A" w:rsidP="004B1F81">
      <w:pPr>
        <w:pStyle w:val="TEXTONORMAL"/>
      </w:pPr>
      <w:r>
        <w:t>Al 30</w:t>
      </w:r>
      <w:r w:rsidR="00E16C9C">
        <w:t xml:space="preserve"> de septiembre</w:t>
      </w:r>
      <w:r w:rsidR="00C92890" w:rsidRPr="00C92890">
        <w:t xml:space="preserve"> de 2022 y al 31 de diciembre de 2021</w:t>
      </w:r>
      <w:r w:rsidR="009D5C48">
        <w:t>, este rubro se integra de la siguiente manera:</w:t>
      </w:r>
    </w:p>
    <w:p w14:paraId="62A68F77" w14:textId="77777777" w:rsidR="006F2251" w:rsidRDefault="006F2251" w:rsidP="004B1F81">
      <w:pPr>
        <w:pStyle w:val="TEXTONORMAL"/>
      </w:pPr>
    </w:p>
    <w:tbl>
      <w:tblPr>
        <w:tblW w:w="10131" w:type="dxa"/>
        <w:jc w:val="center"/>
        <w:tblCellMar>
          <w:left w:w="70" w:type="dxa"/>
          <w:right w:w="70" w:type="dxa"/>
        </w:tblCellMar>
        <w:tblLook w:val="04A0" w:firstRow="1" w:lastRow="0" w:firstColumn="1" w:lastColumn="0" w:noHBand="0" w:noVBand="1"/>
      </w:tblPr>
      <w:tblGrid>
        <w:gridCol w:w="6362"/>
        <w:gridCol w:w="1884"/>
        <w:gridCol w:w="1885"/>
      </w:tblGrid>
      <w:tr w:rsidR="006F2251" w:rsidRPr="006F2251" w14:paraId="2DE46AB5" w14:textId="77777777" w:rsidTr="00A461CA">
        <w:trPr>
          <w:trHeight w:val="320"/>
          <w:jc w:val="center"/>
        </w:trPr>
        <w:tc>
          <w:tcPr>
            <w:tcW w:w="636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ADABAF3" w14:textId="77777777" w:rsidR="006F2251" w:rsidRPr="006F2251" w:rsidRDefault="006F2251" w:rsidP="006F2251">
            <w:pPr>
              <w:spacing w:after="0" w:line="240" w:lineRule="auto"/>
              <w:jc w:val="center"/>
              <w:rPr>
                <w:rFonts w:ascii="Montserrat" w:eastAsia="Times New Roman" w:hAnsi="Montserrat"/>
                <w:b/>
                <w:bCs/>
                <w:color w:val="FFFFFF"/>
                <w:sz w:val="16"/>
                <w:szCs w:val="16"/>
                <w:lang w:val="es-MX" w:eastAsia="es-MX"/>
              </w:rPr>
            </w:pPr>
            <w:r w:rsidRPr="006F2251">
              <w:rPr>
                <w:rFonts w:ascii="Montserrat" w:eastAsia="Times New Roman" w:hAnsi="Montserrat"/>
                <w:b/>
                <w:bCs/>
                <w:color w:val="FFFFFF"/>
                <w:sz w:val="16"/>
                <w:szCs w:val="16"/>
                <w:lang w:val="es-MX" w:eastAsia="es-MX"/>
              </w:rPr>
              <w:t>Concepto</w:t>
            </w:r>
          </w:p>
        </w:tc>
        <w:tc>
          <w:tcPr>
            <w:tcW w:w="376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442B347" w14:textId="77777777" w:rsidR="006F2251" w:rsidRPr="006F2251" w:rsidRDefault="006F2251" w:rsidP="006F2251">
            <w:pPr>
              <w:spacing w:after="0" w:line="240" w:lineRule="auto"/>
              <w:jc w:val="center"/>
              <w:rPr>
                <w:rFonts w:ascii="Montserrat" w:eastAsia="Times New Roman" w:hAnsi="Montserrat"/>
                <w:b/>
                <w:bCs/>
                <w:color w:val="FFFFFF"/>
                <w:sz w:val="16"/>
                <w:szCs w:val="16"/>
                <w:lang w:val="es-MX" w:eastAsia="es-MX"/>
              </w:rPr>
            </w:pPr>
            <w:r w:rsidRPr="006F2251">
              <w:rPr>
                <w:rFonts w:ascii="Montserrat" w:eastAsia="Times New Roman" w:hAnsi="Montserrat"/>
                <w:b/>
                <w:bCs/>
                <w:color w:val="FFFFFF"/>
                <w:sz w:val="16"/>
                <w:szCs w:val="16"/>
                <w:lang w:val="es-MX" w:eastAsia="es-MX"/>
              </w:rPr>
              <w:t>Cifras en pesos</w:t>
            </w:r>
          </w:p>
        </w:tc>
      </w:tr>
      <w:tr w:rsidR="006F2251" w:rsidRPr="006F2251" w14:paraId="291EAF49" w14:textId="77777777" w:rsidTr="00A461CA">
        <w:trPr>
          <w:trHeight w:val="320"/>
          <w:jc w:val="center"/>
        </w:trPr>
        <w:tc>
          <w:tcPr>
            <w:tcW w:w="6362" w:type="dxa"/>
            <w:vMerge/>
            <w:tcBorders>
              <w:top w:val="single" w:sz="12" w:space="0" w:color="808080"/>
              <w:left w:val="single" w:sz="12" w:space="0" w:color="FFFFFF"/>
              <w:bottom w:val="double" w:sz="6" w:space="0" w:color="808080"/>
              <w:right w:val="single" w:sz="12" w:space="0" w:color="FFFFFF"/>
            </w:tcBorders>
            <w:vAlign w:val="center"/>
            <w:hideMark/>
          </w:tcPr>
          <w:p w14:paraId="2EDE7946" w14:textId="77777777" w:rsidR="006F2251" w:rsidRPr="006F2251" w:rsidRDefault="006F2251" w:rsidP="006F2251">
            <w:pPr>
              <w:spacing w:after="0" w:line="240" w:lineRule="auto"/>
              <w:rPr>
                <w:rFonts w:ascii="Montserrat" w:eastAsia="Times New Roman" w:hAnsi="Montserrat"/>
                <w:b/>
                <w:bCs/>
                <w:color w:val="FFFFFF"/>
                <w:sz w:val="16"/>
                <w:szCs w:val="16"/>
                <w:lang w:val="es-MX" w:eastAsia="es-MX"/>
              </w:rPr>
            </w:pPr>
          </w:p>
        </w:tc>
        <w:tc>
          <w:tcPr>
            <w:tcW w:w="1884" w:type="dxa"/>
            <w:tcBorders>
              <w:top w:val="nil"/>
              <w:left w:val="nil"/>
              <w:bottom w:val="double" w:sz="6" w:space="0" w:color="808080"/>
              <w:right w:val="single" w:sz="12" w:space="0" w:color="FFFFFF"/>
            </w:tcBorders>
            <w:shd w:val="clear" w:color="000000" w:fill="D4C19C"/>
            <w:vAlign w:val="center"/>
            <w:hideMark/>
          </w:tcPr>
          <w:p w14:paraId="27DF2BE7" w14:textId="77777777" w:rsidR="006F2251" w:rsidRPr="006F2251" w:rsidRDefault="006F2251" w:rsidP="006F2251">
            <w:pPr>
              <w:spacing w:after="0" w:line="240" w:lineRule="auto"/>
              <w:jc w:val="center"/>
              <w:rPr>
                <w:rFonts w:ascii="Montserrat" w:eastAsia="Times New Roman" w:hAnsi="Montserrat"/>
                <w:b/>
                <w:bCs/>
                <w:color w:val="FFFFFF"/>
                <w:sz w:val="16"/>
                <w:szCs w:val="16"/>
                <w:lang w:val="es-MX" w:eastAsia="es-MX"/>
              </w:rPr>
            </w:pPr>
            <w:r w:rsidRPr="006F2251">
              <w:rPr>
                <w:rFonts w:ascii="Montserrat" w:eastAsia="Times New Roman" w:hAnsi="Montserrat"/>
                <w:b/>
                <w:bCs/>
                <w:color w:val="FFFFFF"/>
                <w:sz w:val="16"/>
                <w:szCs w:val="16"/>
                <w:lang w:val="es-MX" w:eastAsia="es-MX"/>
              </w:rPr>
              <w:t>2022</w:t>
            </w:r>
          </w:p>
        </w:tc>
        <w:tc>
          <w:tcPr>
            <w:tcW w:w="1884" w:type="dxa"/>
            <w:tcBorders>
              <w:top w:val="nil"/>
              <w:left w:val="nil"/>
              <w:bottom w:val="double" w:sz="6" w:space="0" w:color="808080"/>
              <w:right w:val="single" w:sz="12" w:space="0" w:color="FFFFFF"/>
            </w:tcBorders>
            <w:shd w:val="clear" w:color="000000" w:fill="D4C19C"/>
            <w:vAlign w:val="center"/>
            <w:hideMark/>
          </w:tcPr>
          <w:p w14:paraId="37A3FC9C" w14:textId="77777777" w:rsidR="006F2251" w:rsidRPr="006F2251" w:rsidRDefault="006F2251" w:rsidP="006F2251">
            <w:pPr>
              <w:spacing w:after="0" w:line="240" w:lineRule="auto"/>
              <w:jc w:val="center"/>
              <w:rPr>
                <w:rFonts w:ascii="Montserrat" w:eastAsia="Times New Roman" w:hAnsi="Montserrat"/>
                <w:b/>
                <w:bCs/>
                <w:color w:val="FFFFFF"/>
                <w:sz w:val="16"/>
                <w:szCs w:val="16"/>
                <w:lang w:val="es-MX" w:eastAsia="es-MX"/>
              </w:rPr>
            </w:pPr>
            <w:r w:rsidRPr="006F2251">
              <w:rPr>
                <w:rFonts w:ascii="Montserrat" w:eastAsia="Times New Roman" w:hAnsi="Montserrat"/>
                <w:b/>
                <w:bCs/>
                <w:color w:val="FFFFFF"/>
                <w:sz w:val="16"/>
                <w:szCs w:val="16"/>
                <w:lang w:val="es-MX" w:eastAsia="es-MX"/>
              </w:rPr>
              <w:t>2021</w:t>
            </w:r>
          </w:p>
        </w:tc>
      </w:tr>
      <w:tr w:rsidR="006F2251" w:rsidRPr="006F2251" w14:paraId="676E4868" w14:textId="77777777" w:rsidTr="00A461CA">
        <w:trPr>
          <w:trHeight w:val="305"/>
          <w:jc w:val="center"/>
        </w:trPr>
        <w:tc>
          <w:tcPr>
            <w:tcW w:w="6362" w:type="dxa"/>
            <w:tcBorders>
              <w:top w:val="nil"/>
              <w:left w:val="nil"/>
              <w:bottom w:val="nil"/>
              <w:right w:val="nil"/>
            </w:tcBorders>
            <w:shd w:val="clear" w:color="000000" w:fill="F2F2F2"/>
            <w:vAlign w:val="center"/>
            <w:hideMark/>
          </w:tcPr>
          <w:p w14:paraId="1937495B"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Derivados de Personal</w:t>
            </w:r>
          </w:p>
        </w:tc>
        <w:tc>
          <w:tcPr>
            <w:tcW w:w="1884" w:type="dxa"/>
            <w:tcBorders>
              <w:top w:val="nil"/>
              <w:left w:val="nil"/>
              <w:bottom w:val="nil"/>
              <w:right w:val="nil"/>
            </w:tcBorders>
            <w:shd w:val="clear" w:color="000000" w:fill="F2F2F2"/>
            <w:vAlign w:val="center"/>
            <w:hideMark/>
          </w:tcPr>
          <w:p w14:paraId="7905E69F"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3,777,776,132.3</w:t>
            </w:r>
          </w:p>
        </w:tc>
        <w:tc>
          <w:tcPr>
            <w:tcW w:w="1884" w:type="dxa"/>
            <w:tcBorders>
              <w:top w:val="nil"/>
              <w:left w:val="nil"/>
              <w:bottom w:val="nil"/>
              <w:right w:val="nil"/>
            </w:tcBorders>
            <w:shd w:val="clear" w:color="000000" w:fill="F2F2F2"/>
            <w:vAlign w:val="center"/>
            <w:hideMark/>
          </w:tcPr>
          <w:p w14:paraId="726D554C"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3,960,301,117.1</w:t>
            </w:r>
          </w:p>
        </w:tc>
      </w:tr>
      <w:tr w:rsidR="006F2251" w:rsidRPr="006F2251" w14:paraId="327EDE6D" w14:textId="77777777" w:rsidTr="00A461CA">
        <w:trPr>
          <w:trHeight w:val="291"/>
          <w:jc w:val="center"/>
        </w:trPr>
        <w:tc>
          <w:tcPr>
            <w:tcW w:w="6362" w:type="dxa"/>
            <w:tcBorders>
              <w:top w:val="nil"/>
              <w:left w:val="nil"/>
              <w:bottom w:val="nil"/>
              <w:right w:val="nil"/>
            </w:tcBorders>
            <w:shd w:val="clear" w:color="000000" w:fill="F2F2F2"/>
            <w:vAlign w:val="center"/>
            <w:hideMark/>
          </w:tcPr>
          <w:p w14:paraId="0CDCAB1B"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Fondo de Beneficio para Trabajadores de la Construcción (Seguro RCV)</w:t>
            </w:r>
          </w:p>
        </w:tc>
        <w:tc>
          <w:tcPr>
            <w:tcW w:w="1884" w:type="dxa"/>
            <w:tcBorders>
              <w:top w:val="nil"/>
              <w:left w:val="nil"/>
              <w:bottom w:val="nil"/>
              <w:right w:val="nil"/>
            </w:tcBorders>
            <w:shd w:val="clear" w:color="000000" w:fill="F2F2F2"/>
            <w:vAlign w:val="center"/>
            <w:hideMark/>
          </w:tcPr>
          <w:p w14:paraId="089CDED0"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3,815,874,395.2</w:t>
            </w:r>
          </w:p>
        </w:tc>
        <w:tc>
          <w:tcPr>
            <w:tcW w:w="1884" w:type="dxa"/>
            <w:tcBorders>
              <w:top w:val="nil"/>
              <w:left w:val="nil"/>
              <w:bottom w:val="nil"/>
              <w:right w:val="nil"/>
            </w:tcBorders>
            <w:shd w:val="clear" w:color="000000" w:fill="F2F2F2"/>
            <w:vAlign w:val="center"/>
            <w:hideMark/>
          </w:tcPr>
          <w:p w14:paraId="051C874A"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3,631,971,975.4</w:t>
            </w:r>
          </w:p>
        </w:tc>
      </w:tr>
      <w:tr w:rsidR="006F2251" w:rsidRPr="006F2251" w14:paraId="7D3E4E74" w14:textId="77777777" w:rsidTr="00A461CA">
        <w:trPr>
          <w:trHeight w:val="291"/>
          <w:jc w:val="center"/>
        </w:trPr>
        <w:tc>
          <w:tcPr>
            <w:tcW w:w="6362" w:type="dxa"/>
            <w:tcBorders>
              <w:top w:val="nil"/>
              <w:left w:val="nil"/>
              <w:bottom w:val="nil"/>
              <w:right w:val="nil"/>
            </w:tcBorders>
            <w:shd w:val="clear" w:color="000000" w:fill="F2F2F2"/>
            <w:vAlign w:val="center"/>
            <w:hideMark/>
          </w:tcPr>
          <w:p w14:paraId="4827CC72"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Cuotas por Asignar</w:t>
            </w:r>
          </w:p>
        </w:tc>
        <w:tc>
          <w:tcPr>
            <w:tcW w:w="1884" w:type="dxa"/>
            <w:tcBorders>
              <w:top w:val="nil"/>
              <w:left w:val="nil"/>
              <w:bottom w:val="nil"/>
              <w:right w:val="nil"/>
            </w:tcBorders>
            <w:shd w:val="clear" w:color="000000" w:fill="F2F2F2"/>
            <w:vAlign w:val="center"/>
            <w:hideMark/>
          </w:tcPr>
          <w:p w14:paraId="39DB0AE1"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839,138,168.6</w:t>
            </w:r>
          </w:p>
        </w:tc>
        <w:tc>
          <w:tcPr>
            <w:tcW w:w="1884" w:type="dxa"/>
            <w:tcBorders>
              <w:top w:val="nil"/>
              <w:left w:val="nil"/>
              <w:bottom w:val="nil"/>
              <w:right w:val="nil"/>
            </w:tcBorders>
            <w:shd w:val="clear" w:color="000000" w:fill="F2F2F2"/>
            <w:vAlign w:val="center"/>
            <w:hideMark/>
          </w:tcPr>
          <w:p w14:paraId="233D2EEF"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856,294,921.4</w:t>
            </w:r>
          </w:p>
        </w:tc>
      </w:tr>
      <w:tr w:rsidR="006F2251" w:rsidRPr="006F2251" w14:paraId="76FF9ADC" w14:textId="77777777" w:rsidTr="00A461CA">
        <w:trPr>
          <w:trHeight w:val="291"/>
          <w:jc w:val="center"/>
        </w:trPr>
        <w:tc>
          <w:tcPr>
            <w:tcW w:w="6362" w:type="dxa"/>
            <w:tcBorders>
              <w:top w:val="nil"/>
              <w:left w:val="nil"/>
              <w:bottom w:val="nil"/>
              <w:right w:val="nil"/>
            </w:tcBorders>
            <w:shd w:val="clear" w:color="000000" w:fill="F2F2F2"/>
            <w:vAlign w:val="center"/>
            <w:hideMark/>
          </w:tcPr>
          <w:p w14:paraId="5A54AADB"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 xml:space="preserve">Liquidaciones </w:t>
            </w:r>
          </w:p>
        </w:tc>
        <w:tc>
          <w:tcPr>
            <w:tcW w:w="1884" w:type="dxa"/>
            <w:tcBorders>
              <w:top w:val="nil"/>
              <w:left w:val="nil"/>
              <w:bottom w:val="nil"/>
              <w:right w:val="nil"/>
            </w:tcBorders>
            <w:shd w:val="clear" w:color="000000" w:fill="F2F2F2"/>
            <w:vAlign w:val="center"/>
            <w:hideMark/>
          </w:tcPr>
          <w:p w14:paraId="7D2B70FE"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930,640,735.2</w:t>
            </w:r>
          </w:p>
        </w:tc>
        <w:tc>
          <w:tcPr>
            <w:tcW w:w="1884" w:type="dxa"/>
            <w:tcBorders>
              <w:top w:val="nil"/>
              <w:left w:val="nil"/>
              <w:bottom w:val="nil"/>
              <w:right w:val="nil"/>
            </w:tcBorders>
            <w:shd w:val="clear" w:color="000000" w:fill="F2F2F2"/>
            <w:vAlign w:val="center"/>
            <w:hideMark/>
          </w:tcPr>
          <w:p w14:paraId="069AAD86"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736,628,170.2</w:t>
            </w:r>
          </w:p>
        </w:tc>
      </w:tr>
      <w:tr w:rsidR="006F2251" w:rsidRPr="006F2251" w14:paraId="49A42124" w14:textId="77777777" w:rsidTr="00A461CA">
        <w:trPr>
          <w:trHeight w:val="291"/>
          <w:jc w:val="center"/>
        </w:trPr>
        <w:tc>
          <w:tcPr>
            <w:tcW w:w="6362" w:type="dxa"/>
            <w:tcBorders>
              <w:top w:val="nil"/>
              <w:left w:val="nil"/>
              <w:bottom w:val="nil"/>
              <w:right w:val="nil"/>
            </w:tcBorders>
            <w:shd w:val="clear" w:color="000000" w:fill="F2F2F2"/>
            <w:vAlign w:val="center"/>
            <w:hideMark/>
          </w:tcPr>
          <w:p w14:paraId="46E4D811"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Derivados de Prestaciones Económicas y Sociales</w:t>
            </w:r>
          </w:p>
        </w:tc>
        <w:tc>
          <w:tcPr>
            <w:tcW w:w="1884" w:type="dxa"/>
            <w:tcBorders>
              <w:top w:val="nil"/>
              <w:left w:val="nil"/>
              <w:bottom w:val="nil"/>
              <w:right w:val="nil"/>
            </w:tcBorders>
            <w:shd w:val="clear" w:color="000000" w:fill="F2F2F2"/>
            <w:vAlign w:val="center"/>
            <w:hideMark/>
          </w:tcPr>
          <w:p w14:paraId="5441DE9D"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431,768,759.7</w:t>
            </w:r>
          </w:p>
        </w:tc>
        <w:tc>
          <w:tcPr>
            <w:tcW w:w="1884" w:type="dxa"/>
            <w:tcBorders>
              <w:top w:val="nil"/>
              <w:left w:val="nil"/>
              <w:bottom w:val="nil"/>
              <w:right w:val="nil"/>
            </w:tcBorders>
            <w:shd w:val="clear" w:color="000000" w:fill="F2F2F2"/>
            <w:vAlign w:val="center"/>
            <w:hideMark/>
          </w:tcPr>
          <w:p w14:paraId="7E061016"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371,145,981.6</w:t>
            </w:r>
          </w:p>
        </w:tc>
      </w:tr>
      <w:tr w:rsidR="006F2251" w:rsidRPr="006F2251" w14:paraId="4EAB4813" w14:textId="77777777" w:rsidTr="00A461CA">
        <w:trPr>
          <w:trHeight w:val="291"/>
          <w:jc w:val="center"/>
        </w:trPr>
        <w:tc>
          <w:tcPr>
            <w:tcW w:w="6362" w:type="dxa"/>
            <w:tcBorders>
              <w:top w:val="nil"/>
              <w:left w:val="nil"/>
              <w:bottom w:val="nil"/>
              <w:right w:val="nil"/>
            </w:tcBorders>
            <w:shd w:val="clear" w:color="000000" w:fill="F2F2F2"/>
            <w:vAlign w:val="center"/>
            <w:hideMark/>
          </w:tcPr>
          <w:p w14:paraId="38983360"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Otros Pasivos Circulantes</w:t>
            </w:r>
          </w:p>
        </w:tc>
        <w:tc>
          <w:tcPr>
            <w:tcW w:w="1884" w:type="dxa"/>
            <w:tcBorders>
              <w:top w:val="nil"/>
              <w:left w:val="nil"/>
              <w:bottom w:val="nil"/>
              <w:right w:val="nil"/>
            </w:tcBorders>
            <w:shd w:val="clear" w:color="000000" w:fill="F2F2F2"/>
            <w:vAlign w:val="center"/>
            <w:hideMark/>
          </w:tcPr>
          <w:p w14:paraId="41F7C6C9"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242,507,805.5</w:t>
            </w:r>
          </w:p>
        </w:tc>
        <w:tc>
          <w:tcPr>
            <w:tcW w:w="1884" w:type="dxa"/>
            <w:tcBorders>
              <w:top w:val="nil"/>
              <w:left w:val="nil"/>
              <w:bottom w:val="nil"/>
              <w:right w:val="nil"/>
            </w:tcBorders>
            <w:shd w:val="clear" w:color="000000" w:fill="F2F2F2"/>
            <w:vAlign w:val="center"/>
            <w:hideMark/>
          </w:tcPr>
          <w:p w14:paraId="5991EFD9"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223,460,205.0</w:t>
            </w:r>
          </w:p>
        </w:tc>
      </w:tr>
      <w:tr w:rsidR="006F2251" w:rsidRPr="006F2251" w14:paraId="246F9B74" w14:textId="77777777" w:rsidTr="00A461CA">
        <w:trPr>
          <w:trHeight w:val="291"/>
          <w:jc w:val="center"/>
        </w:trPr>
        <w:tc>
          <w:tcPr>
            <w:tcW w:w="6362" w:type="dxa"/>
            <w:tcBorders>
              <w:top w:val="nil"/>
              <w:left w:val="nil"/>
              <w:bottom w:val="nil"/>
              <w:right w:val="nil"/>
            </w:tcBorders>
            <w:shd w:val="clear" w:color="000000" w:fill="F2F2F2"/>
            <w:vAlign w:val="center"/>
            <w:hideMark/>
          </w:tcPr>
          <w:p w14:paraId="1BF8DE7E"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 xml:space="preserve">Acreedores por Reservaciones </w:t>
            </w:r>
          </w:p>
        </w:tc>
        <w:tc>
          <w:tcPr>
            <w:tcW w:w="1884" w:type="dxa"/>
            <w:tcBorders>
              <w:top w:val="nil"/>
              <w:left w:val="nil"/>
              <w:bottom w:val="nil"/>
              <w:right w:val="nil"/>
            </w:tcBorders>
            <w:shd w:val="clear" w:color="000000" w:fill="F2F2F2"/>
            <w:vAlign w:val="center"/>
            <w:hideMark/>
          </w:tcPr>
          <w:p w14:paraId="357C363B"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9,630,865.</w:t>
            </w:r>
            <w:r w:rsidR="0048724D">
              <w:rPr>
                <w:rFonts w:ascii="Montserrat" w:eastAsia="Times New Roman" w:hAnsi="Montserrat"/>
                <w:color w:val="000000"/>
                <w:sz w:val="15"/>
                <w:szCs w:val="15"/>
                <w:lang w:val="es-MX" w:eastAsia="es-MX"/>
              </w:rPr>
              <w:t>0</w:t>
            </w:r>
          </w:p>
        </w:tc>
        <w:tc>
          <w:tcPr>
            <w:tcW w:w="1884" w:type="dxa"/>
            <w:tcBorders>
              <w:top w:val="nil"/>
              <w:left w:val="nil"/>
              <w:bottom w:val="nil"/>
              <w:right w:val="nil"/>
            </w:tcBorders>
            <w:shd w:val="clear" w:color="000000" w:fill="F2F2F2"/>
            <w:vAlign w:val="center"/>
            <w:hideMark/>
          </w:tcPr>
          <w:p w14:paraId="79394095"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7,752,687.6</w:t>
            </w:r>
          </w:p>
        </w:tc>
      </w:tr>
      <w:tr w:rsidR="006F2251" w:rsidRPr="006F2251" w14:paraId="6D83278D" w14:textId="77777777" w:rsidTr="00A461CA">
        <w:trPr>
          <w:trHeight w:val="291"/>
          <w:jc w:val="center"/>
        </w:trPr>
        <w:tc>
          <w:tcPr>
            <w:tcW w:w="6362" w:type="dxa"/>
            <w:tcBorders>
              <w:top w:val="nil"/>
              <w:left w:val="nil"/>
              <w:bottom w:val="nil"/>
              <w:right w:val="nil"/>
            </w:tcBorders>
            <w:shd w:val="clear" w:color="000000" w:fill="F2F2F2"/>
            <w:vAlign w:val="center"/>
            <w:hideMark/>
          </w:tcPr>
          <w:p w14:paraId="68AB666A" w14:textId="77777777" w:rsidR="006F2251" w:rsidRPr="006F2251" w:rsidRDefault="006F2251" w:rsidP="006F2251">
            <w:pPr>
              <w:spacing w:after="0" w:line="240" w:lineRule="auto"/>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 xml:space="preserve">Cuenta por Pagar RO </w:t>
            </w:r>
            <w:r w:rsidRPr="006F2251">
              <w:rPr>
                <w:rFonts w:ascii="Montserrat" w:eastAsia="Times New Roman" w:hAnsi="Montserrat"/>
                <w:b/>
                <w:bCs/>
                <w:color w:val="000000"/>
                <w:sz w:val="15"/>
                <w:szCs w:val="15"/>
                <w:lang w:val="es-MX" w:eastAsia="es-MX"/>
              </w:rPr>
              <w:t>(2.4.a)</w:t>
            </w:r>
          </w:p>
        </w:tc>
        <w:tc>
          <w:tcPr>
            <w:tcW w:w="1884" w:type="dxa"/>
            <w:tcBorders>
              <w:top w:val="nil"/>
              <w:left w:val="nil"/>
              <w:bottom w:val="nil"/>
              <w:right w:val="nil"/>
            </w:tcBorders>
            <w:shd w:val="clear" w:color="000000" w:fill="F2F2F2"/>
            <w:vAlign w:val="center"/>
            <w:hideMark/>
          </w:tcPr>
          <w:p w14:paraId="1284CFF8"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0.0</w:t>
            </w:r>
          </w:p>
        </w:tc>
        <w:tc>
          <w:tcPr>
            <w:tcW w:w="1884" w:type="dxa"/>
            <w:tcBorders>
              <w:top w:val="nil"/>
              <w:left w:val="nil"/>
              <w:bottom w:val="nil"/>
              <w:right w:val="nil"/>
            </w:tcBorders>
            <w:shd w:val="clear" w:color="000000" w:fill="F2F2F2"/>
            <w:vAlign w:val="center"/>
            <w:hideMark/>
          </w:tcPr>
          <w:p w14:paraId="0C2B204F" w14:textId="77777777" w:rsidR="006F2251" w:rsidRPr="006F2251" w:rsidRDefault="006F2251" w:rsidP="006F2251">
            <w:pPr>
              <w:spacing w:after="0" w:line="240" w:lineRule="auto"/>
              <w:jc w:val="right"/>
              <w:rPr>
                <w:rFonts w:ascii="Montserrat" w:eastAsia="Times New Roman" w:hAnsi="Montserrat"/>
                <w:color w:val="000000"/>
                <w:sz w:val="15"/>
                <w:szCs w:val="15"/>
                <w:lang w:val="es-MX" w:eastAsia="es-MX"/>
              </w:rPr>
            </w:pPr>
            <w:r w:rsidRPr="006F2251">
              <w:rPr>
                <w:rFonts w:ascii="Montserrat" w:eastAsia="Times New Roman" w:hAnsi="Montserrat"/>
                <w:color w:val="000000"/>
                <w:sz w:val="15"/>
                <w:szCs w:val="15"/>
                <w:lang w:val="es-MX" w:eastAsia="es-MX"/>
              </w:rPr>
              <w:t>6,500,000,000.0</w:t>
            </w:r>
          </w:p>
        </w:tc>
      </w:tr>
      <w:tr w:rsidR="006F2251" w:rsidRPr="006F2251" w14:paraId="68CAD08F" w14:textId="77777777" w:rsidTr="00A461CA">
        <w:trPr>
          <w:trHeight w:val="305"/>
          <w:jc w:val="center"/>
        </w:trPr>
        <w:tc>
          <w:tcPr>
            <w:tcW w:w="6362" w:type="dxa"/>
            <w:tcBorders>
              <w:top w:val="nil"/>
              <w:left w:val="nil"/>
              <w:bottom w:val="single" w:sz="12" w:space="0" w:color="808080"/>
              <w:right w:val="nil"/>
            </w:tcBorders>
            <w:shd w:val="clear" w:color="000000" w:fill="F2F2F2"/>
            <w:vAlign w:val="center"/>
            <w:hideMark/>
          </w:tcPr>
          <w:p w14:paraId="5B91368B" w14:textId="77777777" w:rsidR="006F2251" w:rsidRPr="006F2251" w:rsidRDefault="006F2251" w:rsidP="006F2251">
            <w:pPr>
              <w:spacing w:after="0" w:line="240" w:lineRule="auto"/>
              <w:rPr>
                <w:rFonts w:ascii="Montserrat" w:eastAsia="Times New Roman" w:hAnsi="Montserrat"/>
                <w:b/>
                <w:bCs/>
                <w:color w:val="000000"/>
                <w:sz w:val="15"/>
                <w:szCs w:val="15"/>
                <w:lang w:val="es-MX" w:eastAsia="es-MX"/>
              </w:rPr>
            </w:pPr>
            <w:r w:rsidRPr="006F2251">
              <w:rPr>
                <w:rFonts w:ascii="Montserrat" w:eastAsia="Times New Roman" w:hAnsi="Montserrat"/>
                <w:b/>
                <w:bCs/>
                <w:color w:val="000000"/>
                <w:sz w:val="15"/>
                <w:szCs w:val="15"/>
                <w:lang w:val="es-MX" w:eastAsia="es-MX"/>
              </w:rPr>
              <w:t>Total Otros Pasivos a Corto Plazo</w:t>
            </w:r>
          </w:p>
        </w:tc>
        <w:tc>
          <w:tcPr>
            <w:tcW w:w="1884" w:type="dxa"/>
            <w:tcBorders>
              <w:top w:val="nil"/>
              <w:left w:val="nil"/>
              <w:bottom w:val="single" w:sz="12" w:space="0" w:color="808080"/>
              <w:right w:val="nil"/>
            </w:tcBorders>
            <w:shd w:val="clear" w:color="000000" w:fill="F2F2F2"/>
            <w:vAlign w:val="center"/>
            <w:hideMark/>
          </w:tcPr>
          <w:p w14:paraId="6CE6691B" w14:textId="77777777" w:rsidR="006F2251" w:rsidRPr="006F2251" w:rsidRDefault="006F2251" w:rsidP="006F2251">
            <w:pPr>
              <w:spacing w:after="0" w:line="240" w:lineRule="auto"/>
              <w:jc w:val="right"/>
              <w:rPr>
                <w:rFonts w:ascii="Montserrat" w:eastAsia="Times New Roman" w:hAnsi="Montserrat"/>
                <w:b/>
                <w:bCs/>
                <w:color w:val="000000"/>
                <w:sz w:val="15"/>
                <w:szCs w:val="15"/>
                <w:lang w:val="es-MX" w:eastAsia="es-MX"/>
              </w:rPr>
            </w:pPr>
            <w:r w:rsidRPr="006F2251">
              <w:rPr>
                <w:rFonts w:ascii="Montserrat" w:eastAsia="Times New Roman" w:hAnsi="Montserrat"/>
                <w:b/>
                <w:bCs/>
                <w:color w:val="000000"/>
                <w:sz w:val="15"/>
                <w:szCs w:val="15"/>
                <w:lang w:val="es-MX" w:eastAsia="es-MX"/>
              </w:rPr>
              <w:t>10,047,336,861</w:t>
            </w:r>
            <w:r w:rsidR="0048724D">
              <w:rPr>
                <w:rFonts w:ascii="Montserrat" w:eastAsia="Times New Roman" w:hAnsi="Montserrat"/>
                <w:b/>
                <w:bCs/>
                <w:color w:val="000000"/>
                <w:sz w:val="15"/>
                <w:szCs w:val="15"/>
                <w:lang w:val="es-MX" w:eastAsia="es-MX"/>
              </w:rPr>
              <w:t>.5</w:t>
            </w:r>
          </w:p>
        </w:tc>
        <w:tc>
          <w:tcPr>
            <w:tcW w:w="1884" w:type="dxa"/>
            <w:tcBorders>
              <w:top w:val="nil"/>
              <w:left w:val="nil"/>
              <w:bottom w:val="single" w:sz="12" w:space="0" w:color="808080"/>
              <w:right w:val="nil"/>
            </w:tcBorders>
            <w:shd w:val="clear" w:color="000000" w:fill="F2F2F2"/>
            <w:vAlign w:val="center"/>
            <w:hideMark/>
          </w:tcPr>
          <w:p w14:paraId="5E5B1F40" w14:textId="77777777" w:rsidR="006F2251" w:rsidRPr="006F2251" w:rsidRDefault="006F2251" w:rsidP="006F2251">
            <w:pPr>
              <w:spacing w:after="0" w:line="240" w:lineRule="auto"/>
              <w:jc w:val="right"/>
              <w:rPr>
                <w:rFonts w:ascii="Montserrat" w:eastAsia="Times New Roman" w:hAnsi="Montserrat"/>
                <w:b/>
                <w:bCs/>
                <w:color w:val="000000"/>
                <w:sz w:val="15"/>
                <w:szCs w:val="15"/>
                <w:lang w:val="es-MX" w:eastAsia="es-MX"/>
              </w:rPr>
            </w:pPr>
            <w:r w:rsidRPr="006F2251">
              <w:rPr>
                <w:rFonts w:ascii="Montserrat" w:eastAsia="Times New Roman" w:hAnsi="Montserrat"/>
                <w:b/>
                <w:bCs/>
                <w:color w:val="000000"/>
                <w:sz w:val="15"/>
                <w:szCs w:val="15"/>
                <w:lang w:val="es-MX" w:eastAsia="es-MX"/>
              </w:rPr>
              <w:t>16,287,555,058.3</w:t>
            </w:r>
          </w:p>
        </w:tc>
      </w:tr>
    </w:tbl>
    <w:p w14:paraId="47AFF6E2" w14:textId="77777777" w:rsidR="00620DFB" w:rsidRDefault="00620DFB" w:rsidP="004B1F81">
      <w:pPr>
        <w:pStyle w:val="TEXTONORMAL"/>
      </w:pPr>
    </w:p>
    <w:p w14:paraId="449F1C62" w14:textId="77777777" w:rsidR="00620DFB" w:rsidRPr="0048724D" w:rsidRDefault="009D5C48" w:rsidP="003F2A12">
      <w:pPr>
        <w:pStyle w:val="VIETAFLECHA"/>
        <w:numPr>
          <w:ilvl w:val="0"/>
          <w:numId w:val="35"/>
        </w:numPr>
        <w:rPr>
          <w:b/>
          <w:bCs/>
        </w:rPr>
      </w:pPr>
      <w:r w:rsidRPr="0048724D">
        <w:rPr>
          <w:b/>
          <w:bCs/>
        </w:rPr>
        <w:t xml:space="preserve">2.4.a) </w:t>
      </w:r>
      <w:r w:rsidR="009623B2" w:rsidRPr="0048724D">
        <w:t xml:space="preserve">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 6,500,000,000.0 pesos, así mismo al cierre de marzo 2022 </w:t>
      </w:r>
      <w:r w:rsidR="009010F7" w:rsidRPr="0048724D">
        <w:t>se devolvieron</w:t>
      </w:r>
      <w:r w:rsidR="009623B2" w:rsidRPr="0048724D">
        <w:t xml:space="preserve"> </w:t>
      </w:r>
      <w:r w:rsidR="009010F7" w:rsidRPr="0048724D">
        <w:t>los 6,000,000,000.0</w:t>
      </w:r>
      <w:r w:rsidR="009623B2" w:rsidRPr="0048724D">
        <w:t xml:space="preserve"> pesos restantes a la ROCF.</w:t>
      </w:r>
    </w:p>
    <w:p w14:paraId="2710C51A" w14:textId="77777777" w:rsidR="00620DFB" w:rsidRDefault="00620DFB" w:rsidP="0050360F">
      <w:pPr>
        <w:pStyle w:val="TEXTONORMAL"/>
        <w:ind w:left="714"/>
      </w:pPr>
    </w:p>
    <w:p w14:paraId="496646B1" w14:textId="77777777" w:rsidR="00A07F10" w:rsidRDefault="00A07F10" w:rsidP="0050360F">
      <w:pPr>
        <w:pStyle w:val="TEXTONORMAL"/>
        <w:ind w:left="714"/>
      </w:pPr>
    </w:p>
    <w:p w14:paraId="73B2E2BE" w14:textId="77777777" w:rsidR="00A07F10" w:rsidRDefault="00A07F10" w:rsidP="0050360F">
      <w:pPr>
        <w:pStyle w:val="TEXTONORMAL"/>
        <w:ind w:left="714"/>
      </w:pPr>
    </w:p>
    <w:p w14:paraId="30B18930" w14:textId="77777777" w:rsidR="00A07F10" w:rsidRDefault="00A07F10" w:rsidP="0050360F">
      <w:pPr>
        <w:pStyle w:val="TEXTONORMAL"/>
        <w:ind w:left="714"/>
      </w:pPr>
    </w:p>
    <w:p w14:paraId="25E8BB26" w14:textId="77777777" w:rsidR="00A07F10" w:rsidRDefault="00A07F10" w:rsidP="0050360F">
      <w:pPr>
        <w:pStyle w:val="TEXTONORMAL"/>
        <w:ind w:left="714"/>
      </w:pPr>
    </w:p>
    <w:p w14:paraId="6C6069EF" w14:textId="77777777" w:rsidR="00A07F10" w:rsidRDefault="00A07F10" w:rsidP="0050360F">
      <w:pPr>
        <w:pStyle w:val="TEXTONORMAL"/>
        <w:ind w:left="714"/>
      </w:pPr>
    </w:p>
    <w:p w14:paraId="49CCDA74" w14:textId="77777777" w:rsidR="00A07F10" w:rsidRDefault="00A07F10" w:rsidP="0050360F">
      <w:pPr>
        <w:pStyle w:val="TEXTONORMAL"/>
        <w:ind w:left="714"/>
      </w:pPr>
    </w:p>
    <w:p w14:paraId="52E56BE1" w14:textId="77777777" w:rsidR="00A07F10" w:rsidRDefault="00A07F10" w:rsidP="0050360F">
      <w:pPr>
        <w:pStyle w:val="TEXTONORMAL"/>
        <w:ind w:left="714"/>
      </w:pPr>
    </w:p>
    <w:p w14:paraId="46688B7A" w14:textId="77777777" w:rsidR="00A461CA" w:rsidRDefault="00A461CA" w:rsidP="0073482B">
      <w:pPr>
        <w:pStyle w:val="SUBTITULO2"/>
      </w:pPr>
    </w:p>
    <w:p w14:paraId="33BBA103" w14:textId="77777777" w:rsidR="009D5C48" w:rsidRDefault="009D5C48" w:rsidP="0073482B">
      <w:pPr>
        <w:pStyle w:val="SUBTITULO2"/>
      </w:pPr>
      <w:r>
        <w:lastRenderedPageBreak/>
        <w:t>pasivo no circulante</w:t>
      </w:r>
    </w:p>
    <w:p w14:paraId="401CB3D3" w14:textId="77777777" w:rsidR="009D5C48" w:rsidRPr="003B0516" w:rsidRDefault="009D5C48" w:rsidP="009D5C48">
      <w:pPr>
        <w:pStyle w:val="TEXTONORMAL"/>
        <w:rPr>
          <w:lang w:val="es-MX"/>
        </w:rPr>
      </w:pPr>
    </w:p>
    <w:p w14:paraId="282B8749" w14:textId="77777777" w:rsidR="009D5C48" w:rsidRPr="001C2CBB" w:rsidRDefault="00F7152C" w:rsidP="003F2A12">
      <w:pPr>
        <w:pStyle w:val="VIETAFLECHA"/>
        <w:numPr>
          <w:ilvl w:val="1"/>
          <w:numId w:val="36"/>
        </w:numPr>
        <w:ind w:left="357" w:hanging="357"/>
      </w:pPr>
      <w:r w:rsidRPr="008142BE">
        <w:rPr>
          <w:b/>
        </w:rPr>
        <w:t>2.5</w:t>
      </w:r>
      <w:r>
        <w:t xml:space="preserve"> </w:t>
      </w:r>
      <w:r w:rsidR="009D5C48" w:rsidRPr="001C2CBB">
        <w:t>Fondos y Bienes de Terceros en Garantía y/o Administración a Largo Plazo</w:t>
      </w:r>
    </w:p>
    <w:p w14:paraId="28F1C8FF" w14:textId="77777777" w:rsidR="001C2CBB" w:rsidRDefault="004C260D" w:rsidP="004B1F81">
      <w:pPr>
        <w:pStyle w:val="TEXTONORMAL"/>
        <w:rPr>
          <w:lang w:val="es-MX"/>
        </w:rPr>
      </w:pPr>
      <w:r>
        <w:t>Al 30 de septiembre</w:t>
      </w:r>
      <w:r w:rsidR="006569DA" w:rsidRPr="00C92890">
        <w:t xml:space="preserve"> de 2022 y al 31 de diciembre de 2021</w:t>
      </w:r>
      <w:r w:rsidR="009D5C48" w:rsidRPr="00DC4177">
        <w:t>, el rubro de Fondos y Bienes de Terceros en Garantía y/o Administración a Largo Plazo equivale a</w:t>
      </w:r>
      <w:r w:rsidR="00251C2B">
        <w:t xml:space="preserve"> 117,434,077,119.</w:t>
      </w:r>
      <w:r w:rsidR="00620E41">
        <w:t>7</w:t>
      </w:r>
      <w:r w:rsidR="006569DA">
        <w:t xml:space="preserve"> </w:t>
      </w:r>
      <w:r w:rsidR="009D5C48">
        <w:t xml:space="preserve">pesos y </w:t>
      </w:r>
      <w:r w:rsidR="006569DA">
        <w:t xml:space="preserve">111,546,090,484.7 </w:t>
      </w:r>
      <w:r w:rsidR="009D5C48" w:rsidRPr="00DC4177">
        <w:t>pesos</w:t>
      </w:r>
      <w:r w:rsidR="009D5C48">
        <w:t>,</w:t>
      </w:r>
      <w:r w:rsidR="009D5C48" w:rsidRPr="00DC4177">
        <w:t xml:space="preserve"> respectivamente, el cual se integra por la Subcuenta </w:t>
      </w:r>
      <w:r w:rsidR="007B10BA">
        <w:t xml:space="preserve">1 y </w:t>
      </w:r>
      <w:r w:rsidR="009D5C48" w:rsidRPr="00DC4177">
        <w:t>2 del Fondo Laboral constituida</w:t>
      </w:r>
      <w:r w:rsidR="007B10BA">
        <w:t>s</w:t>
      </w:r>
      <w:r w:rsidR="009D5C48" w:rsidRPr="00DC4177">
        <w:t xml:space="preserve"> para hacer frente a los pasivos laborales del Inst</w:t>
      </w:r>
      <w:r w:rsidR="009D5C48">
        <w:t xml:space="preserve">ituto en su carácter de patrón. </w:t>
      </w:r>
      <w:r w:rsidR="009D5C48">
        <w:rPr>
          <w:lang w:val="es-MX"/>
        </w:rPr>
        <w:t>(Ver</w:t>
      </w:r>
      <w:r w:rsidR="009D5C48" w:rsidRPr="00197929">
        <w:rPr>
          <w:lang w:val="es-MX"/>
        </w:rPr>
        <w:t xml:space="preserve"> nota 1.7</w:t>
      </w:r>
      <w:r w:rsidR="009D5C48">
        <w:rPr>
          <w:lang w:val="es-MX"/>
        </w:rPr>
        <w:t>.a</w:t>
      </w:r>
      <w:r w:rsidR="006A562C">
        <w:rPr>
          <w:lang w:val="es-MX"/>
        </w:rPr>
        <w:t>)</w:t>
      </w:r>
    </w:p>
    <w:p w14:paraId="5EB8B16E" w14:textId="77777777" w:rsidR="00620DFB" w:rsidRDefault="00620DFB" w:rsidP="004B1F81">
      <w:pPr>
        <w:pStyle w:val="TEXTONORMAL"/>
      </w:pPr>
    </w:p>
    <w:p w14:paraId="6E7BBE25" w14:textId="77777777" w:rsidR="009D5C48" w:rsidRPr="001C2CBB" w:rsidRDefault="00372C3F" w:rsidP="003F2A12">
      <w:pPr>
        <w:pStyle w:val="VIETAFLECHA"/>
        <w:numPr>
          <w:ilvl w:val="1"/>
          <w:numId w:val="36"/>
        </w:numPr>
        <w:ind w:left="357" w:hanging="357"/>
      </w:pPr>
      <w:r w:rsidRPr="008142BE">
        <w:rPr>
          <w:b/>
        </w:rPr>
        <w:t>2.6</w:t>
      </w:r>
      <w:r>
        <w:t xml:space="preserve"> </w:t>
      </w:r>
      <w:r w:rsidR="009D5C48" w:rsidRPr="001C2CBB">
        <w:t>Provisiones a Largo Plazo</w:t>
      </w:r>
    </w:p>
    <w:p w14:paraId="1C3A94F1" w14:textId="77777777" w:rsidR="009D5C48" w:rsidRDefault="000A544C" w:rsidP="009D5C48">
      <w:pPr>
        <w:pStyle w:val="TEXTONORMAL"/>
      </w:pPr>
      <w:r>
        <w:t>Al 30 de septiembre</w:t>
      </w:r>
      <w:r w:rsidR="006569DA" w:rsidRPr="00C92890">
        <w:t xml:space="preserve"> de 2022 y al 31 de diciembre de 2021</w:t>
      </w:r>
      <w:r w:rsidR="009D5C48">
        <w:t>, este rubro se integra de la siguiente manera:</w:t>
      </w:r>
    </w:p>
    <w:p w14:paraId="0E70B300" w14:textId="77777777" w:rsidR="00620DFB" w:rsidRDefault="00620DFB" w:rsidP="009D5C48">
      <w:pPr>
        <w:pStyle w:val="TEXTONORMAL"/>
      </w:pPr>
    </w:p>
    <w:tbl>
      <w:tblPr>
        <w:tblW w:w="10060" w:type="dxa"/>
        <w:jc w:val="center"/>
        <w:tblCellMar>
          <w:left w:w="70" w:type="dxa"/>
          <w:right w:w="70" w:type="dxa"/>
        </w:tblCellMar>
        <w:tblLook w:val="04A0" w:firstRow="1" w:lastRow="0" w:firstColumn="1" w:lastColumn="0" w:noHBand="0" w:noVBand="1"/>
      </w:tblPr>
      <w:tblGrid>
        <w:gridCol w:w="6318"/>
        <w:gridCol w:w="1871"/>
        <w:gridCol w:w="1871"/>
      </w:tblGrid>
      <w:tr w:rsidR="00943C93" w:rsidRPr="00943C93" w14:paraId="62CFEDD7" w14:textId="77777777" w:rsidTr="00943C93">
        <w:trPr>
          <w:trHeight w:val="258"/>
          <w:jc w:val="center"/>
        </w:trPr>
        <w:tc>
          <w:tcPr>
            <w:tcW w:w="631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48FCB7D" w14:textId="77777777" w:rsidR="00943C93" w:rsidRPr="00943C93" w:rsidRDefault="00943C93" w:rsidP="00943C93">
            <w:pPr>
              <w:spacing w:after="0" w:line="240" w:lineRule="auto"/>
              <w:jc w:val="center"/>
              <w:rPr>
                <w:rFonts w:ascii="Montserrat" w:eastAsia="Times New Roman" w:hAnsi="Montserrat"/>
                <w:b/>
                <w:bCs/>
                <w:color w:val="FFFFFF"/>
                <w:sz w:val="16"/>
                <w:szCs w:val="16"/>
                <w:lang w:val="es-MX" w:eastAsia="es-MX"/>
              </w:rPr>
            </w:pPr>
            <w:r w:rsidRPr="00943C93">
              <w:rPr>
                <w:rFonts w:ascii="Montserrat" w:eastAsia="Times New Roman" w:hAnsi="Montserrat"/>
                <w:b/>
                <w:bCs/>
                <w:color w:val="FFFFFF"/>
                <w:sz w:val="16"/>
                <w:szCs w:val="16"/>
                <w:lang w:val="es-MX" w:eastAsia="es-MX"/>
              </w:rPr>
              <w:t>Concepto</w:t>
            </w:r>
          </w:p>
        </w:tc>
        <w:tc>
          <w:tcPr>
            <w:tcW w:w="374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B7E2EA2" w14:textId="77777777" w:rsidR="00943C93" w:rsidRPr="00943C93" w:rsidRDefault="00943C93" w:rsidP="00943C93">
            <w:pPr>
              <w:spacing w:after="0" w:line="240" w:lineRule="auto"/>
              <w:jc w:val="center"/>
              <w:rPr>
                <w:rFonts w:ascii="Montserrat" w:eastAsia="Times New Roman" w:hAnsi="Montserrat"/>
                <w:b/>
                <w:bCs/>
                <w:color w:val="FFFFFF"/>
                <w:sz w:val="16"/>
                <w:szCs w:val="16"/>
                <w:lang w:val="es-MX" w:eastAsia="es-MX"/>
              </w:rPr>
            </w:pPr>
            <w:r w:rsidRPr="00943C93">
              <w:rPr>
                <w:rFonts w:ascii="Montserrat" w:eastAsia="Times New Roman" w:hAnsi="Montserrat"/>
                <w:b/>
                <w:bCs/>
                <w:color w:val="FFFFFF"/>
                <w:sz w:val="16"/>
                <w:szCs w:val="16"/>
                <w:lang w:val="es-MX" w:eastAsia="es-MX"/>
              </w:rPr>
              <w:t>Cifras en pesos</w:t>
            </w:r>
          </w:p>
        </w:tc>
      </w:tr>
      <w:tr w:rsidR="00943C93" w:rsidRPr="00943C93" w14:paraId="3227C139" w14:textId="77777777" w:rsidTr="00943C93">
        <w:trPr>
          <w:trHeight w:val="258"/>
          <w:jc w:val="center"/>
        </w:trPr>
        <w:tc>
          <w:tcPr>
            <w:tcW w:w="6318" w:type="dxa"/>
            <w:vMerge/>
            <w:tcBorders>
              <w:top w:val="single" w:sz="12" w:space="0" w:color="808080"/>
              <w:left w:val="single" w:sz="12" w:space="0" w:color="FFFFFF"/>
              <w:bottom w:val="double" w:sz="6" w:space="0" w:color="808080"/>
              <w:right w:val="single" w:sz="12" w:space="0" w:color="FFFFFF"/>
            </w:tcBorders>
            <w:vAlign w:val="center"/>
            <w:hideMark/>
          </w:tcPr>
          <w:p w14:paraId="5DE44E02" w14:textId="77777777" w:rsidR="00943C93" w:rsidRPr="00943C93" w:rsidRDefault="00943C93" w:rsidP="00943C93">
            <w:pPr>
              <w:spacing w:after="0" w:line="240" w:lineRule="auto"/>
              <w:rPr>
                <w:rFonts w:ascii="Montserrat" w:eastAsia="Times New Roman" w:hAnsi="Montserrat"/>
                <w:b/>
                <w:bCs/>
                <w:color w:val="FFFFFF"/>
                <w:sz w:val="16"/>
                <w:szCs w:val="16"/>
                <w:lang w:val="es-MX" w:eastAsia="es-MX"/>
              </w:rPr>
            </w:pPr>
          </w:p>
        </w:tc>
        <w:tc>
          <w:tcPr>
            <w:tcW w:w="1871" w:type="dxa"/>
            <w:tcBorders>
              <w:top w:val="nil"/>
              <w:left w:val="nil"/>
              <w:bottom w:val="double" w:sz="6" w:space="0" w:color="808080"/>
              <w:right w:val="single" w:sz="12" w:space="0" w:color="FFFFFF"/>
            </w:tcBorders>
            <w:shd w:val="clear" w:color="000000" w:fill="D4C19C"/>
            <w:vAlign w:val="center"/>
            <w:hideMark/>
          </w:tcPr>
          <w:p w14:paraId="1A919B10" w14:textId="77777777" w:rsidR="00943C93" w:rsidRPr="00943C93" w:rsidRDefault="00943C93" w:rsidP="00943C93">
            <w:pPr>
              <w:spacing w:after="0" w:line="240" w:lineRule="auto"/>
              <w:jc w:val="center"/>
              <w:rPr>
                <w:rFonts w:ascii="Montserrat" w:eastAsia="Times New Roman" w:hAnsi="Montserrat"/>
                <w:b/>
                <w:bCs/>
                <w:color w:val="FFFFFF"/>
                <w:sz w:val="16"/>
                <w:szCs w:val="16"/>
                <w:lang w:val="es-MX" w:eastAsia="es-MX"/>
              </w:rPr>
            </w:pPr>
            <w:r w:rsidRPr="00943C93">
              <w:rPr>
                <w:rFonts w:ascii="Montserrat" w:eastAsia="Times New Roman" w:hAnsi="Montserrat"/>
                <w:b/>
                <w:bCs/>
                <w:color w:val="FFFFFF"/>
                <w:sz w:val="16"/>
                <w:szCs w:val="16"/>
                <w:lang w:val="es-MX" w:eastAsia="es-MX"/>
              </w:rPr>
              <w:t>2022</w:t>
            </w:r>
          </w:p>
        </w:tc>
        <w:tc>
          <w:tcPr>
            <w:tcW w:w="1871" w:type="dxa"/>
            <w:tcBorders>
              <w:top w:val="nil"/>
              <w:left w:val="nil"/>
              <w:bottom w:val="double" w:sz="6" w:space="0" w:color="808080"/>
              <w:right w:val="single" w:sz="12" w:space="0" w:color="FFFFFF"/>
            </w:tcBorders>
            <w:shd w:val="clear" w:color="000000" w:fill="D4C19C"/>
            <w:vAlign w:val="center"/>
            <w:hideMark/>
          </w:tcPr>
          <w:p w14:paraId="5EF683B6" w14:textId="77777777" w:rsidR="00943C93" w:rsidRPr="00943C93" w:rsidRDefault="00943C93" w:rsidP="00943C93">
            <w:pPr>
              <w:spacing w:after="0" w:line="240" w:lineRule="auto"/>
              <w:jc w:val="center"/>
              <w:rPr>
                <w:rFonts w:ascii="Montserrat" w:eastAsia="Times New Roman" w:hAnsi="Montserrat"/>
                <w:b/>
                <w:bCs/>
                <w:color w:val="FFFFFF"/>
                <w:sz w:val="16"/>
                <w:szCs w:val="16"/>
                <w:lang w:val="es-MX" w:eastAsia="es-MX"/>
              </w:rPr>
            </w:pPr>
            <w:r w:rsidRPr="00943C93">
              <w:rPr>
                <w:rFonts w:ascii="Montserrat" w:eastAsia="Times New Roman" w:hAnsi="Montserrat"/>
                <w:b/>
                <w:bCs/>
                <w:color w:val="FFFFFF"/>
                <w:sz w:val="16"/>
                <w:szCs w:val="16"/>
                <w:lang w:val="es-MX" w:eastAsia="es-MX"/>
              </w:rPr>
              <w:t>2021</w:t>
            </w:r>
          </w:p>
        </w:tc>
      </w:tr>
      <w:tr w:rsidR="00943C93" w:rsidRPr="00943C93" w14:paraId="6A908144" w14:textId="77777777" w:rsidTr="00943C93">
        <w:trPr>
          <w:trHeight w:val="246"/>
          <w:jc w:val="center"/>
        </w:trPr>
        <w:tc>
          <w:tcPr>
            <w:tcW w:w="6318" w:type="dxa"/>
            <w:tcBorders>
              <w:top w:val="nil"/>
              <w:left w:val="nil"/>
              <w:bottom w:val="nil"/>
              <w:right w:val="nil"/>
            </w:tcBorders>
            <w:shd w:val="clear" w:color="000000" w:fill="F2F2F2"/>
            <w:vAlign w:val="center"/>
            <w:hideMark/>
          </w:tcPr>
          <w:p w14:paraId="3A2C74F5" w14:textId="77777777" w:rsidR="00943C93" w:rsidRPr="00943C93" w:rsidRDefault="00943C93" w:rsidP="00943C93">
            <w:pPr>
              <w:spacing w:after="0" w:line="240" w:lineRule="auto"/>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 xml:space="preserve">Reservas Financieras </w:t>
            </w:r>
            <w:r w:rsidRPr="00943C93">
              <w:rPr>
                <w:rFonts w:ascii="Montserrat" w:eastAsia="Times New Roman" w:hAnsi="Montserrat"/>
                <w:b/>
                <w:bCs/>
                <w:color w:val="000000"/>
                <w:sz w:val="15"/>
                <w:szCs w:val="15"/>
                <w:lang w:val="es-MX" w:eastAsia="es-MX"/>
              </w:rPr>
              <w:t>(2.6.a)</w:t>
            </w:r>
          </w:p>
        </w:tc>
        <w:tc>
          <w:tcPr>
            <w:tcW w:w="1871" w:type="dxa"/>
            <w:tcBorders>
              <w:top w:val="nil"/>
              <w:left w:val="nil"/>
              <w:bottom w:val="nil"/>
              <w:right w:val="nil"/>
            </w:tcBorders>
            <w:shd w:val="clear" w:color="000000" w:fill="F2F2F2"/>
            <w:vAlign w:val="center"/>
            <w:hideMark/>
          </w:tcPr>
          <w:p w14:paraId="568FBF42" w14:textId="77777777" w:rsidR="00943C93" w:rsidRPr="00943C93" w:rsidRDefault="00943C93" w:rsidP="00943C93">
            <w:pPr>
              <w:spacing w:after="0" w:line="240" w:lineRule="auto"/>
              <w:jc w:val="right"/>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217,895,333,497.8</w:t>
            </w:r>
          </w:p>
        </w:tc>
        <w:tc>
          <w:tcPr>
            <w:tcW w:w="1871" w:type="dxa"/>
            <w:tcBorders>
              <w:top w:val="nil"/>
              <w:left w:val="nil"/>
              <w:bottom w:val="nil"/>
              <w:right w:val="nil"/>
            </w:tcBorders>
            <w:shd w:val="clear" w:color="000000" w:fill="F2F2F2"/>
            <w:vAlign w:val="center"/>
            <w:hideMark/>
          </w:tcPr>
          <w:p w14:paraId="63A9222A" w14:textId="77777777" w:rsidR="00943C93" w:rsidRPr="00943C93" w:rsidRDefault="00943C93" w:rsidP="00943C93">
            <w:pPr>
              <w:spacing w:after="0" w:line="240" w:lineRule="auto"/>
              <w:jc w:val="right"/>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211,398,755,071.8</w:t>
            </w:r>
          </w:p>
        </w:tc>
      </w:tr>
      <w:tr w:rsidR="00943C93" w:rsidRPr="00943C93" w14:paraId="4B4786E2" w14:textId="77777777" w:rsidTr="00943C93">
        <w:trPr>
          <w:trHeight w:val="235"/>
          <w:jc w:val="center"/>
        </w:trPr>
        <w:tc>
          <w:tcPr>
            <w:tcW w:w="6318" w:type="dxa"/>
            <w:tcBorders>
              <w:top w:val="nil"/>
              <w:left w:val="nil"/>
              <w:bottom w:val="nil"/>
              <w:right w:val="nil"/>
            </w:tcBorders>
            <w:shd w:val="clear" w:color="000000" w:fill="F2F2F2"/>
            <w:vAlign w:val="center"/>
            <w:hideMark/>
          </w:tcPr>
          <w:p w14:paraId="44BC1001" w14:textId="77777777" w:rsidR="00943C93" w:rsidRPr="00943C93" w:rsidRDefault="00943C93" w:rsidP="00943C93">
            <w:pPr>
              <w:spacing w:after="0" w:line="240" w:lineRule="auto"/>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 xml:space="preserve">Obligaciones Contractuales </w:t>
            </w:r>
          </w:p>
        </w:tc>
        <w:tc>
          <w:tcPr>
            <w:tcW w:w="1871" w:type="dxa"/>
            <w:tcBorders>
              <w:top w:val="nil"/>
              <w:left w:val="nil"/>
              <w:bottom w:val="nil"/>
              <w:right w:val="nil"/>
            </w:tcBorders>
            <w:shd w:val="clear" w:color="000000" w:fill="F2F2F2"/>
            <w:vAlign w:val="center"/>
            <w:hideMark/>
          </w:tcPr>
          <w:p w14:paraId="7DBECB54" w14:textId="77777777" w:rsidR="00943C93" w:rsidRPr="00943C93" w:rsidRDefault="00943C93" w:rsidP="00943C93">
            <w:pPr>
              <w:spacing w:after="0" w:line="240" w:lineRule="auto"/>
              <w:jc w:val="right"/>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73,522,114,072.8</w:t>
            </w:r>
          </w:p>
        </w:tc>
        <w:tc>
          <w:tcPr>
            <w:tcW w:w="1871" w:type="dxa"/>
            <w:tcBorders>
              <w:top w:val="nil"/>
              <w:left w:val="nil"/>
              <w:bottom w:val="nil"/>
              <w:right w:val="nil"/>
            </w:tcBorders>
            <w:shd w:val="clear" w:color="000000" w:fill="F2F2F2"/>
            <w:vAlign w:val="center"/>
            <w:hideMark/>
          </w:tcPr>
          <w:p w14:paraId="1B8B54F9" w14:textId="77777777" w:rsidR="00943C93" w:rsidRPr="00943C93" w:rsidRDefault="00943C93" w:rsidP="00943C93">
            <w:pPr>
              <w:spacing w:after="0" w:line="240" w:lineRule="auto"/>
              <w:jc w:val="right"/>
              <w:rPr>
                <w:rFonts w:ascii="Montserrat" w:eastAsia="Times New Roman" w:hAnsi="Montserrat"/>
                <w:color w:val="000000"/>
                <w:sz w:val="15"/>
                <w:szCs w:val="15"/>
                <w:lang w:val="es-MX" w:eastAsia="es-MX"/>
              </w:rPr>
            </w:pPr>
            <w:r w:rsidRPr="00943C93">
              <w:rPr>
                <w:rFonts w:ascii="Montserrat" w:eastAsia="Times New Roman" w:hAnsi="Montserrat"/>
                <w:color w:val="000000"/>
                <w:sz w:val="15"/>
                <w:szCs w:val="15"/>
                <w:lang w:val="es-MX" w:eastAsia="es-MX"/>
              </w:rPr>
              <w:t>79,446,100,215.6</w:t>
            </w:r>
          </w:p>
        </w:tc>
      </w:tr>
      <w:tr w:rsidR="00943C93" w:rsidRPr="00943C93" w14:paraId="5DFFAAA7" w14:textId="77777777" w:rsidTr="00943C93">
        <w:trPr>
          <w:trHeight w:val="246"/>
          <w:jc w:val="center"/>
        </w:trPr>
        <w:tc>
          <w:tcPr>
            <w:tcW w:w="6318" w:type="dxa"/>
            <w:tcBorders>
              <w:top w:val="nil"/>
              <w:left w:val="nil"/>
              <w:bottom w:val="single" w:sz="12" w:space="0" w:color="808080"/>
              <w:right w:val="nil"/>
            </w:tcBorders>
            <w:shd w:val="clear" w:color="000000" w:fill="F2F2F2"/>
            <w:vAlign w:val="center"/>
            <w:hideMark/>
          </w:tcPr>
          <w:p w14:paraId="120E6F4F" w14:textId="77777777" w:rsidR="00943C93" w:rsidRPr="00943C93" w:rsidRDefault="00943C93" w:rsidP="00943C93">
            <w:pPr>
              <w:spacing w:after="0" w:line="240" w:lineRule="auto"/>
              <w:rPr>
                <w:rFonts w:ascii="Montserrat" w:eastAsia="Times New Roman" w:hAnsi="Montserrat"/>
                <w:b/>
                <w:bCs/>
                <w:color w:val="000000"/>
                <w:sz w:val="15"/>
                <w:szCs w:val="15"/>
                <w:lang w:val="es-MX" w:eastAsia="es-MX"/>
              </w:rPr>
            </w:pPr>
            <w:r w:rsidRPr="00943C93">
              <w:rPr>
                <w:rFonts w:ascii="Montserrat" w:eastAsia="Times New Roman" w:hAnsi="Montserrat"/>
                <w:b/>
                <w:bCs/>
                <w:color w:val="000000"/>
                <w:sz w:val="15"/>
                <w:szCs w:val="15"/>
                <w:lang w:val="es-MX" w:eastAsia="es-MX"/>
              </w:rPr>
              <w:t>Total Provisiones a Largo Plazo</w:t>
            </w:r>
          </w:p>
        </w:tc>
        <w:tc>
          <w:tcPr>
            <w:tcW w:w="1871" w:type="dxa"/>
            <w:tcBorders>
              <w:top w:val="nil"/>
              <w:left w:val="nil"/>
              <w:bottom w:val="single" w:sz="12" w:space="0" w:color="808080"/>
              <w:right w:val="nil"/>
            </w:tcBorders>
            <w:shd w:val="clear" w:color="000000" w:fill="F2F2F2"/>
            <w:vAlign w:val="center"/>
            <w:hideMark/>
          </w:tcPr>
          <w:p w14:paraId="4ED0F00E" w14:textId="77777777" w:rsidR="00943C93" w:rsidRPr="00943C93" w:rsidRDefault="00943C93" w:rsidP="00943C93">
            <w:pPr>
              <w:spacing w:after="0" w:line="240" w:lineRule="auto"/>
              <w:jc w:val="right"/>
              <w:rPr>
                <w:rFonts w:ascii="Montserrat" w:eastAsia="Times New Roman" w:hAnsi="Montserrat"/>
                <w:b/>
                <w:bCs/>
                <w:color w:val="000000"/>
                <w:sz w:val="15"/>
                <w:szCs w:val="15"/>
                <w:lang w:val="es-MX" w:eastAsia="es-MX"/>
              </w:rPr>
            </w:pPr>
            <w:r w:rsidRPr="00943C93">
              <w:rPr>
                <w:rFonts w:ascii="Montserrat" w:eastAsia="Times New Roman" w:hAnsi="Montserrat"/>
                <w:b/>
                <w:bCs/>
                <w:color w:val="000000"/>
                <w:sz w:val="15"/>
                <w:szCs w:val="15"/>
                <w:lang w:val="es-MX" w:eastAsia="es-MX"/>
              </w:rPr>
              <w:t>291,417,447,570.6</w:t>
            </w:r>
          </w:p>
        </w:tc>
        <w:tc>
          <w:tcPr>
            <w:tcW w:w="1871" w:type="dxa"/>
            <w:tcBorders>
              <w:top w:val="nil"/>
              <w:left w:val="nil"/>
              <w:bottom w:val="single" w:sz="12" w:space="0" w:color="808080"/>
              <w:right w:val="nil"/>
            </w:tcBorders>
            <w:shd w:val="clear" w:color="000000" w:fill="F2F2F2"/>
            <w:vAlign w:val="center"/>
            <w:hideMark/>
          </w:tcPr>
          <w:p w14:paraId="4096386E" w14:textId="77777777" w:rsidR="00943C93" w:rsidRPr="00943C93" w:rsidRDefault="00943C93" w:rsidP="00943C93">
            <w:pPr>
              <w:spacing w:after="0" w:line="240" w:lineRule="auto"/>
              <w:jc w:val="right"/>
              <w:rPr>
                <w:rFonts w:ascii="Montserrat" w:eastAsia="Times New Roman" w:hAnsi="Montserrat"/>
                <w:b/>
                <w:bCs/>
                <w:color w:val="000000"/>
                <w:sz w:val="15"/>
                <w:szCs w:val="15"/>
                <w:lang w:val="es-MX" w:eastAsia="es-MX"/>
              </w:rPr>
            </w:pPr>
            <w:r w:rsidRPr="00943C93">
              <w:rPr>
                <w:rFonts w:ascii="Montserrat" w:eastAsia="Times New Roman" w:hAnsi="Montserrat"/>
                <w:b/>
                <w:bCs/>
                <w:color w:val="000000"/>
                <w:sz w:val="15"/>
                <w:szCs w:val="15"/>
                <w:lang w:val="es-MX" w:eastAsia="es-MX"/>
              </w:rPr>
              <w:t>290,844,855,287.4</w:t>
            </w:r>
          </w:p>
        </w:tc>
      </w:tr>
    </w:tbl>
    <w:p w14:paraId="3442A894" w14:textId="77777777" w:rsidR="00943C93" w:rsidRDefault="00943C93" w:rsidP="009D5C48">
      <w:pPr>
        <w:pStyle w:val="TEXTONORMAL"/>
      </w:pPr>
    </w:p>
    <w:p w14:paraId="7C49FC6B" w14:textId="77777777" w:rsidR="009D5C48" w:rsidRDefault="009D5C48" w:rsidP="003F2A12">
      <w:pPr>
        <w:pStyle w:val="TEXTONORMAL"/>
        <w:numPr>
          <w:ilvl w:val="0"/>
          <w:numId w:val="85"/>
        </w:numPr>
        <w:rPr>
          <w:lang w:val="es-MX"/>
        </w:rPr>
      </w:pPr>
      <w:r w:rsidRPr="00202C19">
        <w:rPr>
          <w:rFonts w:eastAsia="Times New Roman"/>
          <w:b/>
          <w:color w:val="000000"/>
          <w:lang w:val="es-MX" w:eastAsia="es-MX"/>
        </w:rPr>
        <w:t>2.6.a)</w:t>
      </w:r>
      <w:r>
        <w:rPr>
          <w:lang w:val="es-MX"/>
        </w:rPr>
        <w:t xml:space="preserve"> </w:t>
      </w:r>
      <w:r w:rsidRPr="00E0295D">
        <w:rPr>
          <w:lang w:val="es-MX"/>
        </w:rPr>
        <w:t xml:space="preserve">Los recursos de las Reservas Financieras no forman parte del patrimonio del Instituto como lo establece el artículo 278 de la LSS y sólo podrá disponer de ellos para cumplir </w:t>
      </w:r>
      <w:r>
        <w:rPr>
          <w:lang w:val="es-MX"/>
        </w:rPr>
        <w:t>los fines previstos. (Ver</w:t>
      </w:r>
      <w:r w:rsidRPr="00197929">
        <w:rPr>
          <w:lang w:val="es-MX"/>
        </w:rPr>
        <w:t xml:space="preserve"> nota 1.7</w:t>
      </w:r>
      <w:r>
        <w:rPr>
          <w:lang w:val="es-MX"/>
        </w:rPr>
        <w:t>.a</w:t>
      </w:r>
      <w:r w:rsidRPr="00197929">
        <w:rPr>
          <w:lang w:val="es-MX"/>
        </w:rPr>
        <w:t>)</w:t>
      </w:r>
    </w:p>
    <w:p w14:paraId="3D65A017" w14:textId="77777777" w:rsidR="00AE7030" w:rsidRDefault="00AE7030" w:rsidP="00D74D99">
      <w:pPr>
        <w:pStyle w:val="TEXTONORMAL"/>
        <w:rPr>
          <w:lang w:val="es-MX"/>
        </w:rPr>
      </w:pPr>
    </w:p>
    <w:p w14:paraId="7EBB58B6" w14:textId="77777777" w:rsidR="00B653EC" w:rsidRDefault="00B653EC" w:rsidP="00D74D99">
      <w:pPr>
        <w:pStyle w:val="TEXTONORMAL"/>
        <w:rPr>
          <w:lang w:val="es-MX"/>
        </w:rPr>
      </w:pPr>
    </w:p>
    <w:p w14:paraId="74472D75" w14:textId="77777777" w:rsidR="00B653EC" w:rsidRDefault="00B653EC" w:rsidP="00D74D99">
      <w:pPr>
        <w:pStyle w:val="TEXTONORMAL"/>
        <w:rPr>
          <w:lang w:val="es-MX"/>
        </w:rPr>
      </w:pPr>
    </w:p>
    <w:p w14:paraId="69A7DEB5" w14:textId="77777777" w:rsidR="00B653EC" w:rsidRDefault="00B653EC" w:rsidP="00D74D99">
      <w:pPr>
        <w:pStyle w:val="TEXTONORMAL"/>
        <w:rPr>
          <w:lang w:val="es-MX"/>
        </w:rPr>
      </w:pPr>
    </w:p>
    <w:p w14:paraId="6817B3AC" w14:textId="77777777" w:rsidR="00B653EC" w:rsidRDefault="00B653EC" w:rsidP="00D74D99">
      <w:pPr>
        <w:pStyle w:val="TEXTONORMAL"/>
        <w:rPr>
          <w:lang w:val="es-MX"/>
        </w:rPr>
      </w:pPr>
    </w:p>
    <w:p w14:paraId="7054B93B" w14:textId="77777777" w:rsidR="00B653EC" w:rsidRDefault="00B653EC" w:rsidP="00D74D99">
      <w:pPr>
        <w:pStyle w:val="TEXTONORMAL"/>
        <w:rPr>
          <w:lang w:val="es-MX"/>
        </w:rPr>
      </w:pPr>
    </w:p>
    <w:p w14:paraId="7D52EDE9" w14:textId="77777777" w:rsidR="00B653EC" w:rsidRDefault="00B653EC" w:rsidP="00D74D99">
      <w:pPr>
        <w:pStyle w:val="TEXTONORMAL"/>
        <w:rPr>
          <w:lang w:val="es-MX"/>
        </w:rPr>
      </w:pPr>
    </w:p>
    <w:p w14:paraId="717E0FFC" w14:textId="77777777" w:rsidR="00A461CA" w:rsidRDefault="00A461CA" w:rsidP="00D74D99">
      <w:pPr>
        <w:pStyle w:val="TEXTONORMAL"/>
        <w:rPr>
          <w:lang w:val="es-MX"/>
        </w:rPr>
      </w:pPr>
    </w:p>
    <w:p w14:paraId="0C3818A2" w14:textId="77777777" w:rsidR="00A461CA" w:rsidRDefault="00A461CA" w:rsidP="00D74D99">
      <w:pPr>
        <w:pStyle w:val="TEXTONORMAL"/>
        <w:rPr>
          <w:lang w:val="es-MX"/>
        </w:rPr>
      </w:pPr>
    </w:p>
    <w:p w14:paraId="5F15A97C" w14:textId="77777777" w:rsidR="00B653EC" w:rsidRDefault="00B653EC" w:rsidP="00D74D99">
      <w:pPr>
        <w:pStyle w:val="TEXTONORMAL"/>
        <w:rPr>
          <w:lang w:val="es-MX"/>
        </w:rPr>
      </w:pPr>
    </w:p>
    <w:p w14:paraId="5D13E172"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F414D">
        <w:rPr>
          <w:rFonts w:ascii="Montserrat" w:hAnsi="Montserrat" w:cs="Arial"/>
          <w:b/>
          <w:caps/>
        </w:rPr>
        <w:lastRenderedPageBreak/>
        <w:t>Notas al Estado de Actividades</w:t>
      </w:r>
    </w:p>
    <w:p w14:paraId="5EBCC5BA" w14:textId="77777777" w:rsidR="009D5C48" w:rsidRDefault="009D5C48" w:rsidP="001A3447">
      <w:pPr>
        <w:pStyle w:val="SUBTITULO2"/>
        <w:numPr>
          <w:ilvl w:val="0"/>
          <w:numId w:val="7"/>
        </w:numPr>
        <w:ind w:left="0" w:firstLine="0"/>
      </w:pPr>
      <w:r w:rsidRPr="005512BD">
        <w:t>Ingresos y Otros Beneficios</w:t>
      </w:r>
    </w:p>
    <w:p w14:paraId="0AFA5F51" w14:textId="77777777" w:rsidR="009D5C48" w:rsidRPr="003B0516" w:rsidRDefault="009D5C48" w:rsidP="009D5C48">
      <w:pPr>
        <w:pStyle w:val="TEXTONORMAL"/>
        <w:rPr>
          <w:lang w:val="es-MX"/>
        </w:rPr>
      </w:pPr>
    </w:p>
    <w:p w14:paraId="42276BBC" w14:textId="77777777" w:rsidR="009D5C48" w:rsidRPr="002D072D" w:rsidRDefault="00372C3F" w:rsidP="003F2A12">
      <w:pPr>
        <w:pStyle w:val="VIETAFLECHA"/>
        <w:numPr>
          <w:ilvl w:val="1"/>
          <w:numId w:val="37"/>
        </w:numPr>
        <w:ind w:left="357" w:hanging="357"/>
      </w:pPr>
      <w:r w:rsidRPr="008142BE">
        <w:rPr>
          <w:b/>
        </w:rPr>
        <w:t>3.1</w:t>
      </w:r>
      <w:r>
        <w:t xml:space="preserve"> </w:t>
      </w:r>
      <w:r w:rsidR="009D5C48" w:rsidRPr="002D072D">
        <w:t>Cuotas y Aportaciones de Seguridad Social</w:t>
      </w:r>
    </w:p>
    <w:p w14:paraId="7D5CE5CF" w14:textId="77777777" w:rsidR="009D5C48" w:rsidRDefault="002D7C7C" w:rsidP="00C16E7C">
      <w:pPr>
        <w:pStyle w:val="TEXTONORMAL"/>
      </w:pPr>
      <w:r>
        <w:t>Al 30</w:t>
      </w:r>
      <w:r w:rsidR="006569DA" w:rsidRPr="00C92890">
        <w:t xml:space="preserve"> de </w:t>
      </w:r>
      <w:r w:rsidR="00981C42">
        <w:t>septiembre</w:t>
      </w:r>
      <w:r w:rsidR="006569DA" w:rsidRPr="00C92890">
        <w:t xml:space="preserve"> de 2022 y 2021</w:t>
      </w:r>
      <w:r w:rsidR="009D5C48" w:rsidRPr="00673CA5">
        <w:t>, las Cuotas y Aportaciones de Seguridad Social se integran de la siguiente manera:</w:t>
      </w:r>
    </w:p>
    <w:p w14:paraId="6FE92038" w14:textId="77777777" w:rsidR="0059190B" w:rsidRDefault="0059190B" w:rsidP="00C16E7C">
      <w:pPr>
        <w:pStyle w:val="TEXTONORMAL"/>
      </w:pPr>
    </w:p>
    <w:tbl>
      <w:tblPr>
        <w:tblW w:w="10871" w:type="dxa"/>
        <w:jc w:val="center"/>
        <w:tblCellMar>
          <w:left w:w="70" w:type="dxa"/>
          <w:right w:w="70" w:type="dxa"/>
        </w:tblCellMar>
        <w:tblLook w:val="04A0" w:firstRow="1" w:lastRow="0" w:firstColumn="1" w:lastColumn="0" w:noHBand="0" w:noVBand="1"/>
      </w:tblPr>
      <w:tblGrid>
        <w:gridCol w:w="6522"/>
        <w:gridCol w:w="2174"/>
        <w:gridCol w:w="2175"/>
      </w:tblGrid>
      <w:tr w:rsidR="00D106C5" w:rsidRPr="00D106C5" w14:paraId="012D515C" w14:textId="77777777" w:rsidTr="00A461CA">
        <w:trPr>
          <w:trHeight w:val="275"/>
          <w:jc w:val="center"/>
        </w:trPr>
        <w:tc>
          <w:tcPr>
            <w:tcW w:w="652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D860572" w14:textId="77777777" w:rsidR="00D106C5" w:rsidRPr="00D106C5" w:rsidRDefault="00D106C5" w:rsidP="00D106C5">
            <w:pPr>
              <w:spacing w:after="0" w:line="240" w:lineRule="auto"/>
              <w:jc w:val="center"/>
              <w:rPr>
                <w:rFonts w:ascii="Montserrat" w:eastAsia="Times New Roman" w:hAnsi="Montserrat"/>
                <w:b/>
                <w:bCs/>
                <w:color w:val="FFFFFF"/>
                <w:sz w:val="16"/>
                <w:szCs w:val="16"/>
                <w:lang w:val="es-MX" w:eastAsia="es-MX"/>
              </w:rPr>
            </w:pPr>
            <w:r w:rsidRPr="00D106C5">
              <w:rPr>
                <w:rFonts w:ascii="Montserrat" w:eastAsia="Times New Roman" w:hAnsi="Montserrat"/>
                <w:b/>
                <w:bCs/>
                <w:color w:val="FFFFFF"/>
                <w:sz w:val="16"/>
                <w:szCs w:val="16"/>
                <w:lang w:val="es-MX" w:eastAsia="es-MX"/>
              </w:rPr>
              <w:t>Concepto</w:t>
            </w:r>
          </w:p>
        </w:tc>
        <w:tc>
          <w:tcPr>
            <w:tcW w:w="434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98BBF0D" w14:textId="77777777" w:rsidR="00D106C5" w:rsidRPr="00D106C5" w:rsidRDefault="00D106C5" w:rsidP="00D106C5">
            <w:pPr>
              <w:spacing w:after="0" w:line="240" w:lineRule="auto"/>
              <w:jc w:val="center"/>
              <w:rPr>
                <w:rFonts w:ascii="Montserrat" w:eastAsia="Times New Roman" w:hAnsi="Montserrat"/>
                <w:b/>
                <w:bCs/>
                <w:color w:val="FFFFFF"/>
                <w:sz w:val="16"/>
                <w:szCs w:val="16"/>
                <w:lang w:val="es-MX" w:eastAsia="es-MX"/>
              </w:rPr>
            </w:pPr>
            <w:r w:rsidRPr="00D106C5">
              <w:rPr>
                <w:rFonts w:ascii="Montserrat" w:eastAsia="Times New Roman" w:hAnsi="Montserrat"/>
                <w:b/>
                <w:bCs/>
                <w:color w:val="FFFFFF"/>
                <w:sz w:val="16"/>
                <w:szCs w:val="16"/>
                <w:lang w:val="es-MX" w:eastAsia="es-MX"/>
              </w:rPr>
              <w:t>Cifras en pesos</w:t>
            </w:r>
          </w:p>
        </w:tc>
      </w:tr>
      <w:tr w:rsidR="00D106C5" w:rsidRPr="00D106C5" w14:paraId="3406EB4C" w14:textId="77777777" w:rsidTr="00A461CA">
        <w:trPr>
          <w:trHeight w:val="275"/>
          <w:jc w:val="center"/>
        </w:trPr>
        <w:tc>
          <w:tcPr>
            <w:tcW w:w="6522" w:type="dxa"/>
            <w:vMerge/>
            <w:tcBorders>
              <w:top w:val="single" w:sz="12" w:space="0" w:color="808080"/>
              <w:left w:val="single" w:sz="12" w:space="0" w:color="FFFFFF"/>
              <w:bottom w:val="double" w:sz="6" w:space="0" w:color="808080"/>
              <w:right w:val="single" w:sz="12" w:space="0" w:color="FFFFFF"/>
            </w:tcBorders>
            <w:vAlign w:val="center"/>
            <w:hideMark/>
          </w:tcPr>
          <w:p w14:paraId="4296DECF" w14:textId="77777777" w:rsidR="00D106C5" w:rsidRPr="00D106C5" w:rsidRDefault="00D106C5" w:rsidP="00D106C5">
            <w:pPr>
              <w:spacing w:after="0" w:line="240" w:lineRule="auto"/>
              <w:rPr>
                <w:rFonts w:ascii="Montserrat" w:eastAsia="Times New Roman" w:hAnsi="Montserrat"/>
                <w:b/>
                <w:bCs/>
                <w:color w:val="FFFFFF"/>
                <w:sz w:val="16"/>
                <w:szCs w:val="16"/>
                <w:lang w:val="es-MX" w:eastAsia="es-MX"/>
              </w:rPr>
            </w:pPr>
          </w:p>
        </w:tc>
        <w:tc>
          <w:tcPr>
            <w:tcW w:w="2174" w:type="dxa"/>
            <w:tcBorders>
              <w:top w:val="nil"/>
              <w:left w:val="nil"/>
              <w:bottom w:val="double" w:sz="6" w:space="0" w:color="808080"/>
              <w:right w:val="single" w:sz="12" w:space="0" w:color="FFFFFF"/>
            </w:tcBorders>
            <w:shd w:val="clear" w:color="000000" w:fill="D4C19C"/>
            <w:vAlign w:val="center"/>
            <w:hideMark/>
          </w:tcPr>
          <w:p w14:paraId="30EE815F" w14:textId="77777777" w:rsidR="00D106C5" w:rsidRPr="00D106C5" w:rsidRDefault="00D106C5" w:rsidP="00D106C5">
            <w:pPr>
              <w:spacing w:after="0" w:line="240" w:lineRule="auto"/>
              <w:jc w:val="center"/>
              <w:rPr>
                <w:rFonts w:ascii="Montserrat" w:eastAsia="Times New Roman" w:hAnsi="Montserrat"/>
                <w:b/>
                <w:bCs/>
                <w:color w:val="FFFFFF"/>
                <w:sz w:val="16"/>
                <w:szCs w:val="16"/>
                <w:lang w:val="es-MX" w:eastAsia="es-MX"/>
              </w:rPr>
            </w:pPr>
            <w:r w:rsidRPr="00D106C5">
              <w:rPr>
                <w:rFonts w:ascii="Montserrat" w:eastAsia="Times New Roman" w:hAnsi="Montserrat"/>
                <w:b/>
                <w:bCs/>
                <w:color w:val="FFFFFF"/>
                <w:sz w:val="16"/>
                <w:szCs w:val="16"/>
                <w:lang w:val="es-MX" w:eastAsia="es-MX"/>
              </w:rPr>
              <w:t>2022</w:t>
            </w:r>
          </w:p>
        </w:tc>
        <w:tc>
          <w:tcPr>
            <w:tcW w:w="2174" w:type="dxa"/>
            <w:tcBorders>
              <w:top w:val="nil"/>
              <w:left w:val="nil"/>
              <w:bottom w:val="double" w:sz="6" w:space="0" w:color="808080"/>
              <w:right w:val="single" w:sz="12" w:space="0" w:color="FFFFFF"/>
            </w:tcBorders>
            <w:shd w:val="clear" w:color="000000" w:fill="D4C19C"/>
            <w:vAlign w:val="center"/>
            <w:hideMark/>
          </w:tcPr>
          <w:p w14:paraId="48E5D41B" w14:textId="77777777" w:rsidR="00D106C5" w:rsidRPr="00D106C5" w:rsidRDefault="00D106C5" w:rsidP="00D106C5">
            <w:pPr>
              <w:spacing w:after="0" w:line="240" w:lineRule="auto"/>
              <w:jc w:val="center"/>
              <w:rPr>
                <w:rFonts w:ascii="Montserrat" w:eastAsia="Times New Roman" w:hAnsi="Montserrat"/>
                <w:b/>
                <w:bCs/>
                <w:color w:val="FFFFFF"/>
                <w:sz w:val="16"/>
                <w:szCs w:val="16"/>
                <w:lang w:val="es-MX" w:eastAsia="es-MX"/>
              </w:rPr>
            </w:pPr>
            <w:r w:rsidRPr="00D106C5">
              <w:rPr>
                <w:rFonts w:ascii="Montserrat" w:eastAsia="Times New Roman" w:hAnsi="Montserrat"/>
                <w:b/>
                <w:bCs/>
                <w:color w:val="FFFFFF"/>
                <w:sz w:val="16"/>
                <w:szCs w:val="16"/>
                <w:lang w:val="es-MX" w:eastAsia="es-MX"/>
              </w:rPr>
              <w:t>2021</w:t>
            </w:r>
          </w:p>
        </w:tc>
      </w:tr>
      <w:tr w:rsidR="00D106C5" w:rsidRPr="00D106C5" w14:paraId="0B8D5B58" w14:textId="77777777" w:rsidTr="00A461CA">
        <w:trPr>
          <w:trHeight w:val="263"/>
          <w:jc w:val="center"/>
        </w:trPr>
        <w:tc>
          <w:tcPr>
            <w:tcW w:w="6522" w:type="dxa"/>
            <w:tcBorders>
              <w:top w:val="nil"/>
              <w:left w:val="nil"/>
              <w:bottom w:val="nil"/>
              <w:right w:val="nil"/>
            </w:tcBorders>
            <w:shd w:val="clear" w:color="000000" w:fill="F2F2F2"/>
            <w:vAlign w:val="center"/>
            <w:hideMark/>
          </w:tcPr>
          <w:p w14:paraId="087D9423" w14:textId="77777777" w:rsidR="00D106C5" w:rsidRPr="00D106C5" w:rsidRDefault="00D106C5" w:rsidP="00D106C5">
            <w:pPr>
              <w:spacing w:after="0" w:line="240" w:lineRule="auto"/>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Cuotas Obrero Patronales</w:t>
            </w:r>
          </w:p>
        </w:tc>
        <w:tc>
          <w:tcPr>
            <w:tcW w:w="2174" w:type="dxa"/>
            <w:tcBorders>
              <w:top w:val="nil"/>
              <w:left w:val="nil"/>
              <w:bottom w:val="nil"/>
              <w:right w:val="nil"/>
            </w:tcBorders>
            <w:shd w:val="clear" w:color="000000" w:fill="F2F2F2"/>
            <w:vAlign w:val="center"/>
            <w:hideMark/>
          </w:tcPr>
          <w:p w14:paraId="54A8A7CE" w14:textId="77777777" w:rsidR="00D106C5" w:rsidRPr="00D106C5" w:rsidRDefault="00D106C5" w:rsidP="00D106C5">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337,326,235,548.8</w:t>
            </w:r>
          </w:p>
        </w:tc>
        <w:tc>
          <w:tcPr>
            <w:tcW w:w="2174" w:type="dxa"/>
            <w:tcBorders>
              <w:top w:val="nil"/>
              <w:left w:val="nil"/>
              <w:bottom w:val="nil"/>
              <w:right w:val="nil"/>
            </w:tcBorders>
            <w:shd w:val="clear" w:color="000000" w:fill="F2F2F2"/>
            <w:vAlign w:val="center"/>
            <w:hideMark/>
          </w:tcPr>
          <w:p w14:paraId="653A604D" w14:textId="77777777" w:rsidR="00D106C5" w:rsidRPr="00D106C5" w:rsidRDefault="00D106C5" w:rsidP="00D106C5">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292,358,537,825.0</w:t>
            </w:r>
          </w:p>
        </w:tc>
      </w:tr>
      <w:tr w:rsidR="00D106C5" w:rsidRPr="00D106C5" w14:paraId="6839855F" w14:textId="77777777" w:rsidTr="00A461CA">
        <w:trPr>
          <w:trHeight w:val="250"/>
          <w:jc w:val="center"/>
        </w:trPr>
        <w:tc>
          <w:tcPr>
            <w:tcW w:w="6522" w:type="dxa"/>
            <w:tcBorders>
              <w:top w:val="nil"/>
              <w:left w:val="nil"/>
              <w:bottom w:val="nil"/>
              <w:right w:val="nil"/>
            </w:tcBorders>
            <w:shd w:val="clear" w:color="000000" w:fill="F2F2F2"/>
            <w:vAlign w:val="center"/>
            <w:hideMark/>
          </w:tcPr>
          <w:p w14:paraId="48F5EBA0" w14:textId="77777777" w:rsidR="00D106C5" w:rsidRPr="00D106C5" w:rsidRDefault="00D106C5" w:rsidP="00D106C5">
            <w:pPr>
              <w:spacing w:after="0" w:line="240" w:lineRule="auto"/>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 xml:space="preserve">Cuotas del Gobierno Federal </w:t>
            </w:r>
            <w:r w:rsidRPr="00D106C5">
              <w:rPr>
                <w:rFonts w:ascii="Montserrat" w:eastAsia="Times New Roman" w:hAnsi="Montserrat"/>
                <w:b/>
                <w:bCs/>
                <w:color w:val="000000"/>
                <w:sz w:val="15"/>
                <w:szCs w:val="15"/>
                <w:lang w:val="es-MX" w:eastAsia="es-MX"/>
              </w:rPr>
              <w:t>(3.1.a)</w:t>
            </w:r>
          </w:p>
        </w:tc>
        <w:tc>
          <w:tcPr>
            <w:tcW w:w="2174" w:type="dxa"/>
            <w:tcBorders>
              <w:top w:val="nil"/>
              <w:left w:val="nil"/>
              <w:bottom w:val="nil"/>
              <w:right w:val="nil"/>
            </w:tcBorders>
            <w:shd w:val="clear" w:color="000000" w:fill="F2F2F2"/>
            <w:vAlign w:val="center"/>
            <w:hideMark/>
          </w:tcPr>
          <w:p w14:paraId="1D5D3CDB" w14:textId="77777777" w:rsidR="00D106C5" w:rsidRPr="00D106C5" w:rsidRDefault="00D106C5" w:rsidP="00D106C5">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90,360,501,229.9</w:t>
            </w:r>
          </w:p>
        </w:tc>
        <w:tc>
          <w:tcPr>
            <w:tcW w:w="2174" w:type="dxa"/>
            <w:tcBorders>
              <w:top w:val="nil"/>
              <w:left w:val="nil"/>
              <w:bottom w:val="nil"/>
              <w:right w:val="nil"/>
            </w:tcBorders>
            <w:shd w:val="clear" w:color="000000" w:fill="F2F2F2"/>
            <w:vAlign w:val="center"/>
            <w:hideMark/>
          </w:tcPr>
          <w:p w14:paraId="1CF46E55" w14:textId="77777777" w:rsidR="00D106C5" w:rsidRPr="00D106C5" w:rsidRDefault="00D106C5" w:rsidP="0043151F">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80,538,457,501.</w:t>
            </w:r>
            <w:r w:rsidR="0043151F">
              <w:rPr>
                <w:rFonts w:ascii="Montserrat" w:eastAsia="Times New Roman" w:hAnsi="Montserrat"/>
                <w:color w:val="000000"/>
                <w:sz w:val="15"/>
                <w:szCs w:val="15"/>
                <w:lang w:val="es-MX" w:eastAsia="es-MX"/>
              </w:rPr>
              <w:t>1</w:t>
            </w:r>
          </w:p>
        </w:tc>
      </w:tr>
      <w:tr w:rsidR="00D106C5" w:rsidRPr="00D106C5" w14:paraId="085BDDC1" w14:textId="77777777" w:rsidTr="00A461CA">
        <w:trPr>
          <w:trHeight w:val="250"/>
          <w:jc w:val="center"/>
        </w:trPr>
        <w:tc>
          <w:tcPr>
            <w:tcW w:w="6522" w:type="dxa"/>
            <w:tcBorders>
              <w:top w:val="nil"/>
              <w:left w:val="nil"/>
              <w:bottom w:val="nil"/>
              <w:right w:val="nil"/>
            </w:tcBorders>
            <w:shd w:val="clear" w:color="000000" w:fill="F2F2F2"/>
            <w:vAlign w:val="center"/>
            <w:hideMark/>
          </w:tcPr>
          <w:p w14:paraId="01BE8D32" w14:textId="77777777" w:rsidR="00D106C5" w:rsidRPr="00D106C5" w:rsidRDefault="00D106C5" w:rsidP="00D106C5">
            <w:pPr>
              <w:spacing w:after="0" w:line="240" w:lineRule="auto"/>
              <w:jc w:val="both"/>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Cuotas para la Seguridad Social</w:t>
            </w:r>
          </w:p>
        </w:tc>
        <w:tc>
          <w:tcPr>
            <w:tcW w:w="2174" w:type="dxa"/>
            <w:tcBorders>
              <w:top w:val="nil"/>
              <w:left w:val="nil"/>
              <w:bottom w:val="nil"/>
              <w:right w:val="nil"/>
            </w:tcBorders>
            <w:shd w:val="clear" w:color="000000" w:fill="F2F2F2"/>
            <w:vAlign w:val="center"/>
            <w:hideMark/>
          </w:tcPr>
          <w:p w14:paraId="063B5810" w14:textId="77777777" w:rsidR="00D106C5" w:rsidRPr="00D106C5" w:rsidRDefault="00D106C5" w:rsidP="00D106C5">
            <w:pPr>
              <w:spacing w:after="0" w:line="240" w:lineRule="auto"/>
              <w:jc w:val="right"/>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427,686,736,778.7</w:t>
            </w:r>
          </w:p>
        </w:tc>
        <w:tc>
          <w:tcPr>
            <w:tcW w:w="2174" w:type="dxa"/>
            <w:tcBorders>
              <w:top w:val="nil"/>
              <w:left w:val="nil"/>
              <w:bottom w:val="nil"/>
              <w:right w:val="nil"/>
            </w:tcBorders>
            <w:shd w:val="clear" w:color="000000" w:fill="F2F2F2"/>
            <w:vAlign w:val="center"/>
            <w:hideMark/>
          </w:tcPr>
          <w:p w14:paraId="2DAE0754" w14:textId="77777777" w:rsidR="00D106C5" w:rsidRPr="00D106C5" w:rsidRDefault="00D106C5" w:rsidP="00D106C5">
            <w:pPr>
              <w:spacing w:after="0" w:line="240" w:lineRule="auto"/>
              <w:jc w:val="right"/>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372,896,995,326.1</w:t>
            </w:r>
          </w:p>
        </w:tc>
      </w:tr>
      <w:tr w:rsidR="00D106C5" w:rsidRPr="00D106C5" w14:paraId="4BD8B147" w14:textId="77777777" w:rsidTr="00A461CA">
        <w:trPr>
          <w:trHeight w:val="250"/>
          <w:jc w:val="center"/>
        </w:trPr>
        <w:tc>
          <w:tcPr>
            <w:tcW w:w="6522" w:type="dxa"/>
            <w:tcBorders>
              <w:top w:val="nil"/>
              <w:left w:val="nil"/>
              <w:bottom w:val="nil"/>
              <w:right w:val="nil"/>
            </w:tcBorders>
            <w:shd w:val="clear" w:color="000000" w:fill="F2F2F2"/>
            <w:vAlign w:val="center"/>
            <w:hideMark/>
          </w:tcPr>
          <w:p w14:paraId="4756DAD7" w14:textId="77777777" w:rsidR="00D106C5" w:rsidRPr="00D106C5" w:rsidRDefault="00D106C5" w:rsidP="00D106C5">
            <w:pPr>
              <w:spacing w:after="0" w:line="240" w:lineRule="auto"/>
              <w:jc w:val="both"/>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 xml:space="preserve">Accesorios de Cuotas y Aportaciones de Seguridad Social </w:t>
            </w:r>
          </w:p>
        </w:tc>
        <w:tc>
          <w:tcPr>
            <w:tcW w:w="2174" w:type="dxa"/>
            <w:tcBorders>
              <w:top w:val="nil"/>
              <w:left w:val="nil"/>
              <w:bottom w:val="nil"/>
              <w:right w:val="nil"/>
            </w:tcBorders>
            <w:shd w:val="clear" w:color="000000" w:fill="F2F2F2"/>
            <w:vAlign w:val="center"/>
            <w:hideMark/>
          </w:tcPr>
          <w:p w14:paraId="6A164242" w14:textId="77777777" w:rsidR="00D106C5" w:rsidRPr="00D106C5" w:rsidRDefault="00D106C5" w:rsidP="00D106C5">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8,274,691,373.2</w:t>
            </w:r>
          </w:p>
        </w:tc>
        <w:tc>
          <w:tcPr>
            <w:tcW w:w="2174" w:type="dxa"/>
            <w:tcBorders>
              <w:top w:val="nil"/>
              <w:left w:val="nil"/>
              <w:bottom w:val="nil"/>
              <w:right w:val="nil"/>
            </w:tcBorders>
            <w:shd w:val="clear" w:color="000000" w:fill="F2F2F2"/>
            <w:vAlign w:val="center"/>
            <w:hideMark/>
          </w:tcPr>
          <w:p w14:paraId="72F8BF88" w14:textId="77777777" w:rsidR="00D106C5" w:rsidRPr="00D106C5" w:rsidRDefault="00D106C5" w:rsidP="00D106C5">
            <w:pPr>
              <w:spacing w:after="0" w:line="240" w:lineRule="auto"/>
              <w:jc w:val="right"/>
              <w:rPr>
                <w:rFonts w:ascii="Montserrat" w:eastAsia="Times New Roman" w:hAnsi="Montserrat"/>
                <w:color w:val="000000"/>
                <w:sz w:val="15"/>
                <w:szCs w:val="15"/>
                <w:lang w:val="es-MX" w:eastAsia="es-MX"/>
              </w:rPr>
            </w:pPr>
            <w:r w:rsidRPr="00D106C5">
              <w:rPr>
                <w:rFonts w:ascii="Montserrat" w:eastAsia="Times New Roman" w:hAnsi="Montserrat"/>
                <w:color w:val="000000"/>
                <w:sz w:val="15"/>
                <w:szCs w:val="15"/>
                <w:lang w:val="es-MX" w:eastAsia="es-MX"/>
              </w:rPr>
              <w:t>8,670,005,119.7</w:t>
            </w:r>
          </w:p>
        </w:tc>
      </w:tr>
      <w:tr w:rsidR="00D106C5" w:rsidRPr="00D106C5" w14:paraId="1A1AD910" w14:textId="77777777" w:rsidTr="00A461CA">
        <w:trPr>
          <w:trHeight w:val="263"/>
          <w:jc w:val="center"/>
        </w:trPr>
        <w:tc>
          <w:tcPr>
            <w:tcW w:w="6522" w:type="dxa"/>
            <w:tcBorders>
              <w:top w:val="nil"/>
              <w:left w:val="nil"/>
              <w:bottom w:val="single" w:sz="12" w:space="0" w:color="808080"/>
              <w:right w:val="nil"/>
            </w:tcBorders>
            <w:shd w:val="clear" w:color="000000" w:fill="F2F2F2"/>
            <w:vAlign w:val="center"/>
            <w:hideMark/>
          </w:tcPr>
          <w:p w14:paraId="5315C7C9" w14:textId="77777777" w:rsidR="00D106C5" w:rsidRPr="00D106C5" w:rsidRDefault="00D106C5" w:rsidP="00D106C5">
            <w:pPr>
              <w:spacing w:after="0" w:line="240" w:lineRule="auto"/>
              <w:jc w:val="both"/>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Total Cuotas y Aportaciones de Seguridad Social</w:t>
            </w:r>
          </w:p>
        </w:tc>
        <w:tc>
          <w:tcPr>
            <w:tcW w:w="2174" w:type="dxa"/>
            <w:tcBorders>
              <w:top w:val="nil"/>
              <w:left w:val="nil"/>
              <w:bottom w:val="single" w:sz="12" w:space="0" w:color="808080"/>
              <w:right w:val="nil"/>
            </w:tcBorders>
            <w:shd w:val="clear" w:color="000000" w:fill="F2F2F2"/>
            <w:vAlign w:val="center"/>
            <w:hideMark/>
          </w:tcPr>
          <w:p w14:paraId="059E3F71" w14:textId="77777777" w:rsidR="00D106C5" w:rsidRPr="00D106C5" w:rsidRDefault="00D106C5" w:rsidP="00D106C5">
            <w:pPr>
              <w:spacing w:after="0" w:line="240" w:lineRule="auto"/>
              <w:jc w:val="right"/>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435,961,428,151.9</w:t>
            </w:r>
          </w:p>
        </w:tc>
        <w:tc>
          <w:tcPr>
            <w:tcW w:w="2174" w:type="dxa"/>
            <w:tcBorders>
              <w:top w:val="nil"/>
              <w:left w:val="nil"/>
              <w:bottom w:val="single" w:sz="12" w:space="0" w:color="808080"/>
              <w:right w:val="nil"/>
            </w:tcBorders>
            <w:shd w:val="clear" w:color="000000" w:fill="F2F2F2"/>
            <w:vAlign w:val="center"/>
            <w:hideMark/>
          </w:tcPr>
          <w:p w14:paraId="22F4883A" w14:textId="77777777" w:rsidR="00D106C5" w:rsidRPr="00D106C5" w:rsidRDefault="00D106C5" w:rsidP="00D106C5">
            <w:pPr>
              <w:spacing w:after="0" w:line="240" w:lineRule="auto"/>
              <w:jc w:val="right"/>
              <w:rPr>
                <w:rFonts w:ascii="Montserrat" w:eastAsia="Times New Roman" w:hAnsi="Montserrat"/>
                <w:b/>
                <w:bCs/>
                <w:color w:val="000000"/>
                <w:sz w:val="15"/>
                <w:szCs w:val="15"/>
                <w:lang w:val="es-MX" w:eastAsia="es-MX"/>
              </w:rPr>
            </w:pPr>
            <w:r w:rsidRPr="00D106C5">
              <w:rPr>
                <w:rFonts w:ascii="Montserrat" w:eastAsia="Times New Roman" w:hAnsi="Montserrat"/>
                <w:b/>
                <w:bCs/>
                <w:color w:val="000000"/>
                <w:sz w:val="15"/>
                <w:szCs w:val="15"/>
                <w:lang w:val="es-MX" w:eastAsia="es-MX"/>
              </w:rPr>
              <w:t>381,567,000,445.8</w:t>
            </w:r>
          </w:p>
        </w:tc>
      </w:tr>
    </w:tbl>
    <w:p w14:paraId="1305F2F0" w14:textId="77777777" w:rsidR="002D7C7C" w:rsidRDefault="002D7C7C" w:rsidP="00C16E7C">
      <w:pPr>
        <w:pStyle w:val="TEXTONORMAL"/>
      </w:pPr>
    </w:p>
    <w:p w14:paraId="66459689" w14:textId="77777777" w:rsidR="009D5C48" w:rsidRDefault="009D5C48" w:rsidP="00C16E7C">
      <w:pPr>
        <w:pStyle w:val="TEXTONORMAL"/>
      </w:pPr>
      <w:r>
        <w:t>Las Cuotas Obrero-Patronales se registran al cierre de cada mes, con base en los días cotizados por los trabajadores y los factores establecidos en la LSS, para cada ramo de seguro.</w:t>
      </w:r>
    </w:p>
    <w:p w14:paraId="16ACEC33" w14:textId="77777777" w:rsidR="00AE7030" w:rsidRDefault="009D5C48" w:rsidP="003F2A12">
      <w:pPr>
        <w:pStyle w:val="TEXTONORMAL"/>
        <w:numPr>
          <w:ilvl w:val="0"/>
          <w:numId w:val="85"/>
        </w:numPr>
      </w:pPr>
      <w:r w:rsidRPr="00202C19">
        <w:rPr>
          <w:b/>
        </w:rPr>
        <w:t>3.1.a)</w:t>
      </w:r>
      <w:r w:rsidRPr="00292C5D">
        <w:t xml:space="preserve"> Las </w:t>
      </w:r>
      <w:r>
        <w:t xml:space="preserve">cuotas, contribuciones y </w:t>
      </w:r>
      <w:r w:rsidRPr="00292C5D">
        <w:t xml:space="preserve">aportaciones provenientes del Gobierno Federal se determinan al inicio de cada año con base en el PEF, así mismo, mensualmente </w:t>
      </w:r>
      <w:r w:rsidR="00380CA6" w:rsidRPr="00292C5D">
        <w:t>de acuerdo con</w:t>
      </w:r>
      <w:r w:rsidRPr="00292C5D">
        <w:t xml:space="preserve"> los factores establecidos en la LSS, se registran los ingresos devengados, y al cierre de cada ejercicio se determina la diferencia entre las aportacion</w:t>
      </w:r>
      <w:r>
        <w:t xml:space="preserve">es y los ingresos devengados. </w:t>
      </w:r>
    </w:p>
    <w:p w14:paraId="02EE1F9F" w14:textId="77777777" w:rsidR="00A461CA" w:rsidRDefault="00A461CA" w:rsidP="00E4106E">
      <w:pPr>
        <w:pStyle w:val="TEXTONORMAL"/>
        <w:ind w:left="720"/>
      </w:pPr>
    </w:p>
    <w:p w14:paraId="043FC7FE" w14:textId="77777777" w:rsidR="009D5C48" w:rsidRPr="002D072D" w:rsidRDefault="00D2590B" w:rsidP="003F2A12">
      <w:pPr>
        <w:pStyle w:val="VIETAFLECHA"/>
        <w:numPr>
          <w:ilvl w:val="1"/>
          <w:numId w:val="37"/>
        </w:numPr>
        <w:ind w:left="357" w:hanging="357"/>
      </w:pPr>
      <w:r w:rsidRPr="008142BE">
        <w:rPr>
          <w:b/>
        </w:rPr>
        <w:t>3.2</w:t>
      </w:r>
      <w:r>
        <w:t xml:space="preserve"> </w:t>
      </w:r>
      <w:r w:rsidR="009D5C48" w:rsidRPr="002D072D">
        <w:t>Ingresos por Venta de Bienes y Prestación de Servicios</w:t>
      </w:r>
    </w:p>
    <w:p w14:paraId="1DE81BB7" w14:textId="77777777" w:rsidR="009D5C48" w:rsidRDefault="009D5C48" w:rsidP="00C16E7C">
      <w:pPr>
        <w:pStyle w:val="TEXTONORMAL"/>
      </w:pPr>
      <w:r w:rsidRPr="001465AC">
        <w:t xml:space="preserve">Los Ingresos por Venta de Bienes y Prestación de Servicios al </w:t>
      </w:r>
      <w:r w:rsidR="00596CA3">
        <w:t>30</w:t>
      </w:r>
      <w:r w:rsidR="006569DA" w:rsidRPr="00C92890">
        <w:t xml:space="preserve"> de </w:t>
      </w:r>
      <w:r w:rsidR="00E53A38">
        <w:t>septiembre</w:t>
      </w:r>
      <w:r w:rsidR="006569DA" w:rsidRPr="00C92890">
        <w:t xml:space="preserve"> de 2022 y 2021</w:t>
      </w:r>
      <w:r w:rsidRPr="001465AC">
        <w:t>, se integran de la siguiente manera:</w:t>
      </w:r>
    </w:p>
    <w:p w14:paraId="6C7C0E0A" w14:textId="77777777" w:rsidR="00843D52" w:rsidRDefault="00843D52" w:rsidP="00C16E7C">
      <w:pPr>
        <w:pStyle w:val="TEXTONORMAL"/>
      </w:pPr>
    </w:p>
    <w:tbl>
      <w:tblPr>
        <w:tblW w:w="8955" w:type="dxa"/>
        <w:jc w:val="center"/>
        <w:tblCellMar>
          <w:left w:w="70" w:type="dxa"/>
          <w:right w:w="70" w:type="dxa"/>
        </w:tblCellMar>
        <w:tblLook w:val="04A0" w:firstRow="1" w:lastRow="0" w:firstColumn="1" w:lastColumn="0" w:noHBand="0" w:noVBand="1"/>
      </w:tblPr>
      <w:tblGrid>
        <w:gridCol w:w="5373"/>
        <w:gridCol w:w="1791"/>
        <w:gridCol w:w="1791"/>
      </w:tblGrid>
      <w:tr w:rsidR="00843D52" w:rsidRPr="00843D52" w14:paraId="4D4E05C1" w14:textId="77777777" w:rsidTr="00E4106E">
        <w:trPr>
          <w:trHeight w:val="211"/>
          <w:jc w:val="center"/>
        </w:trPr>
        <w:tc>
          <w:tcPr>
            <w:tcW w:w="537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E338D07" w14:textId="77777777" w:rsidR="00843D52" w:rsidRPr="00843D52" w:rsidRDefault="00843D52" w:rsidP="00843D52">
            <w:pPr>
              <w:spacing w:after="0" w:line="240" w:lineRule="auto"/>
              <w:jc w:val="center"/>
              <w:rPr>
                <w:rFonts w:ascii="Montserrat" w:eastAsia="Times New Roman" w:hAnsi="Montserrat"/>
                <w:b/>
                <w:bCs/>
                <w:color w:val="FFFFFF"/>
                <w:sz w:val="16"/>
                <w:szCs w:val="16"/>
                <w:lang w:val="es-MX" w:eastAsia="es-MX"/>
              </w:rPr>
            </w:pPr>
            <w:r w:rsidRPr="00843D52">
              <w:rPr>
                <w:rFonts w:ascii="Montserrat" w:eastAsia="Times New Roman" w:hAnsi="Montserrat"/>
                <w:b/>
                <w:bCs/>
                <w:color w:val="FFFFFF"/>
                <w:sz w:val="16"/>
                <w:szCs w:val="16"/>
                <w:lang w:val="es-MX" w:eastAsia="es-MX"/>
              </w:rPr>
              <w:t>Concepto</w:t>
            </w:r>
          </w:p>
        </w:tc>
        <w:tc>
          <w:tcPr>
            <w:tcW w:w="358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AB643A6" w14:textId="77777777" w:rsidR="00843D52" w:rsidRPr="00843D52" w:rsidRDefault="00843D52" w:rsidP="00843D52">
            <w:pPr>
              <w:spacing w:after="0" w:line="240" w:lineRule="auto"/>
              <w:jc w:val="center"/>
              <w:rPr>
                <w:rFonts w:ascii="Montserrat" w:eastAsia="Times New Roman" w:hAnsi="Montserrat"/>
                <w:b/>
                <w:bCs/>
                <w:color w:val="FFFFFF"/>
                <w:sz w:val="16"/>
                <w:szCs w:val="16"/>
                <w:lang w:val="es-MX" w:eastAsia="es-MX"/>
              </w:rPr>
            </w:pPr>
            <w:r w:rsidRPr="00843D52">
              <w:rPr>
                <w:rFonts w:ascii="Montserrat" w:eastAsia="Times New Roman" w:hAnsi="Montserrat"/>
                <w:b/>
                <w:bCs/>
                <w:color w:val="FFFFFF"/>
                <w:sz w:val="16"/>
                <w:szCs w:val="16"/>
                <w:lang w:val="es-MX" w:eastAsia="es-MX"/>
              </w:rPr>
              <w:t>Cifras en pesos</w:t>
            </w:r>
          </w:p>
        </w:tc>
      </w:tr>
      <w:tr w:rsidR="00843D52" w:rsidRPr="00843D52" w14:paraId="659650D1" w14:textId="77777777" w:rsidTr="00E4106E">
        <w:trPr>
          <w:trHeight w:val="211"/>
          <w:jc w:val="center"/>
        </w:trPr>
        <w:tc>
          <w:tcPr>
            <w:tcW w:w="5373" w:type="dxa"/>
            <w:vMerge/>
            <w:tcBorders>
              <w:top w:val="single" w:sz="12" w:space="0" w:color="808080"/>
              <w:left w:val="single" w:sz="12" w:space="0" w:color="FFFFFF"/>
              <w:bottom w:val="double" w:sz="6" w:space="0" w:color="808080"/>
              <w:right w:val="single" w:sz="12" w:space="0" w:color="FFFFFF"/>
            </w:tcBorders>
            <w:vAlign w:val="center"/>
            <w:hideMark/>
          </w:tcPr>
          <w:p w14:paraId="453F9DC5" w14:textId="77777777" w:rsidR="00843D52" w:rsidRPr="00843D52" w:rsidRDefault="00843D52" w:rsidP="00843D52">
            <w:pPr>
              <w:spacing w:after="0" w:line="240" w:lineRule="auto"/>
              <w:rPr>
                <w:rFonts w:ascii="Montserrat" w:eastAsia="Times New Roman" w:hAnsi="Montserrat"/>
                <w:b/>
                <w:bCs/>
                <w:color w:val="FFFFFF"/>
                <w:sz w:val="16"/>
                <w:szCs w:val="16"/>
                <w:lang w:val="es-MX" w:eastAsia="es-MX"/>
              </w:rPr>
            </w:pPr>
          </w:p>
        </w:tc>
        <w:tc>
          <w:tcPr>
            <w:tcW w:w="1791" w:type="dxa"/>
            <w:tcBorders>
              <w:top w:val="nil"/>
              <w:left w:val="nil"/>
              <w:bottom w:val="double" w:sz="6" w:space="0" w:color="808080"/>
              <w:right w:val="single" w:sz="12" w:space="0" w:color="FFFFFF"/>
            </w:tcBorders>
            <w:shd w:val="clear" w:color="000000" w:fill="D4C19C"/>
            <w:vAlign w:val="center"/>
            <w:hideMark/>
          </w:tcPr>
          <w:p w14:paraId="3494748B" w14:textId="77777777" w:rsidR="00843D52" w:rsidRPr="00843D52" w:rsidRDefault="00843D52" w:rsidP="00843D52">
            <w:pPr>
              <w:spacing w:after="0" w:line="240" w:lineRule="auto"/>
              <w:jc w:val="center"/>
              <w:rPr>
                <w:rFonts w:ascii="Montserrat" w:eastAsia="Times New Roman" w:hAnsi="Montserrat"/>
                <w:b/>
                <w:bCs/>
                <w:color w:val="FFFFFF"/>
                <w:sz w:val="16"/>
                <w:szCs w:val="16"/>
                <w:lang w:val="es-MX" w:eastAsia="es-MX"/>
              </w:rPr>
            </w:pPr>
            <w:r w:rsidRPr="00843D52">
              <w:rPr>
                <w:rFonts w:ascii="Montserrat" w:eastAsia="Times New Roman" w:hAnsi="Montserrat"/>
                <w:b/>
                <w:bCs/>
                <w:color w:val="FFFFFF"/>
                <w:sz w:val="16"/>
                <w:szCs w:val="16"/>
                <w:lang w:val="es-MX" w:eastAsia="es-MX"/>
              </w:rPr>
              <w:t>2022</w:t>
            </w:r>
          </w:p>
        </w:tc>
        <w:tc>
          <w:tcPr>
            <w:tcW w:w="1791" w:type="dxa"/>
            <w:tcBorders>
              <w:top w:val="nil"/>
              <w:left w:val="nil"/>
              <w:bottom w:val="double" w:sz="6" w:space="0" w:color="808080"/>
              <w:right w:val="single" w:sz="12" w:space="0" w:color="FFFFFF"/>
            </w:tcBorders>
            <w:shd w:val="clear" w:color="000000" w:fill="D4C19C"/>
            <w:vAlign w:val="center"/>
            <w:hideMark/>
          </w:tcPr>
          <w:p w14:paraId="3E47DA81" w14:textId="77777777" w:rsidR="00843D52" w:rsidRPr="00843D52" w:rsidRDefault="00843D52" w:rsidP="00843D52">
            <w:pPr>
              <w:spacing w:after="0" w:line="240" w:lineRule="auto"/>
              <w:jc w:val="center"/>
              <w:rPr>
                <w:rFonts w:ascii="Montserrat" w:eastAsia="Times New Roman" w:hAnsi="Montserrat"/>
                <w:b/>
                <w:bCs/>
                <w:color w:val="FFFFFF"/>
                <w:sz w:val="16"/>
                <w:szCs w:val="16"/>
                <w:lang w:val="es-MX" w:eastAsia="es-MX"/>
              </w:rPr>
            </w:pPr>
            <w:r w:rsidRPr="00843D52">
              <w:rPr>
                <w:rFonts w:ascii="Montserrat" w:eastAsia="Times New Roman" w:hAnsi="Montserrat"/>
                <w:b/>
                <w:bCs/>
                <w:color w:val="FFFFFF"/>
                <w:sz w:val="16"/>
                <w:szCs w:val="16"/>
                <w:lang w:val="es-MX" w:eastAsia="es-MX"/>
              </w:rPr>
              <w:t>2021</w:t>
            </w:r>
          </w:p>
        </w:tc>
      </w:tr>
      <w:tr w:rsidR="00843D52" w:rsidRPr="00843D52" w14:paraId="644F536C" w14:textId="77777777" w:rsidTr="00E4106E">
        <w:trPr>
          <w:trHeight w:val="201"/>
          <w:jc w:val="center"/>
        </w:trPr>
        <w:tc>
          <w:tcPr>
            <w:tcW w:w="5373" w:type="dxa"/>
            <w:tcBorders>
              <w:top w:val="nil"/>
              <w:left w:val="nil"/>
              <w:bottom w:val="nil"/>
              <w:right w:val="nil"/>
            </w:tcBorders>
            <w:shd w:val="clear" w:color="000000" w:fill="F2F2F2"/>
            <w:vAlign w:val="center"/>
            <w:hideMark/>
          </w:tcPr>
          <w:p w14:paraId="52A7467B" w14:textId="77777777" w:rsidR="00843D52" w:rsidRPr="00843D52" w:rsidRDefault="00843D52" w:rsidP="00843D52">
            <w:pPr>
              <w:spacing w:after="0" w:line="240" w:lineRule="auto"/>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Tiendas</w:t>
            </w:r>
          </w:p>
        </w:tc>
        <w:tc>
          <w:tcPr>
            <w:tcW w:w="1791" w:type="dxa"/>
            <w:tcBorders>
              <w:top w:val="nil"/>
              <w:left w:val="nil"/>
              <w:bottom w:val="nil"/>
              <w:right w:val="nil"/>
            </w:tcBorders>
            <w:shd w:val="clear" w:color="000000" w:fill="F2F2F2"/>
            <w:vAlign w:val="center"/>
            <w:hideMark/>
          </w:tcPr>
          <w:p w14:paraId="7647AD61"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751,401,248.9</w:t>
            </w:r>
          </w:p>
        </w:tc>
        <w:tc>
          <w:tcPr>
            <w:tcW w:w="1791" w:type="dxa"/>
            <w:tcBorders>
              <w:top w:val="nil"/>
              <w:left w:val="nil"/>
              <w:bottom w:val="nil"/>
              <w:right w:val="nil"/>
            </w:tcBorders>
            <w:shd w:val="clear" w:color="000000" w:fill="F2F2F2"/>
            <w:vAlign w:val="center"/>
            <w:hideMark/>
          </w:tcPr>
          <w:p w14:paraId="36D35421"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664,219,126.3</w:t>
            </w:r>
          </w:p>
        </w:tc>
      </w:tr>
      <w:tr w:rsidR="00843D52" w:rsidRPr="00843D52" w14:paraId="70DB287C" w14:textId="77777777" w:rsidTr="00E4106E">
        <w:trPr>
          <w:trHeight w:val="192"/>
          <w:jc w:val="center"/>
        </w:trPr>
        <w:tc>
          <w:tcPr>
            <w:tcW w:w="5373" w:type="dxa"/>
            <w:tcBorders>
              <w:top w:val="nil"/>
              <w:left w:val="nil"/>
              <w:bottom w:val="nil"/>
              <w:right w:val="nil"/>
            </w:tcBorders>
            <w:shd w:val="clear" w:color="000000" w:fill="F2F2F2"/>
            <w:vAlign w:val="center"/>
            <w:hideMark/>
          </w:tcPr>
          <w:p w14:paraId="5240437B" w14:textId="77777777" w:rsidR="00843D52" w:rsidRPr="00843D52" w:rsidRDefault="00843D52" w:rsidP="00843D52">
            <w:pPr>
              <w:spacing w:after="0" w:line="240" w:lineRule="auto"/>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Centros Vacacionales y Unidad de Congresos</w:t>
            </w:r>
          </w:p>
        </w:tc>
        <w:tc>
          <w:tcPr>
            <w:tcW w:w="1791" w:type="dxa"/>
            <w:tcBorders>
              <w:top w:val="nil"/>
              <w:left w:val="nil"/>
              <w:bottom w:val="nil"/>
              <w:right w:val="nil"/>
            </w:tcBorders>
            <w:shd w:val="clear" w:color="000000" w:fill="F2F2F2"/>
            <w:vAlign w:val="center"/>
            <w:hideMark/>
          </w:tcPr>
          <w:p w14:paraId="06699915"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289,444,783.5</w:t>
            </w:r>
          </w:p>
        </w:tc>
        <w:tc>
          <w:tcPr>
            <w:tcW w:w="1791" w:type="dxa"/>
            <w:tcBorders>
              <w:top w:val="nil"/>
              <w:left w:val="nil"/>
              <w:bottom w:val="nil"/>
              <w:right w:val="nil"/>
            </w:tcBorders>
            <w:shd w:val="clear" w:color="000000" w:fill="F2F2F2"/>
            <w:vAlign w:val="center"/>
            <w:hideMark/>
          </w:tcPr>
          <w:p w14:paraId="1C22747A"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187,802,208.5</w:t>
            </w:r>
          </w:p>
        </w:tc>
      </w:tr>
      <w:tr w:rsidR="00843D52" w:rsidRPr="00843D52" w14:paraId="49F2C2D4" w14:textId="77777777" w:rsidTr="00E4106E">
        <w:trPr>
          <w:trHeight w:val="192"/>
          <w:jc w:val="center"/>
        </w:trPr>
        <w:tc>
          <w:tcPr>
            <w:tcW w:w="5373" w:type="dxa"/>
            <w:tcBorders>
              <w:top w:val="nil"/>
              <w:left w:val="nil"/>
              <w:bottom w:val="nil"/>
              <w:right w:val="nil"/>
            </w:tcBorders>
            <w:shd w:val="clear" w:color="000000" w:fill="F2F2F2"/>
            <w:vAlign w:val="center"/>
            <w:hideMark/>
          </w:tcPr>
          <w:p w14:paraId="22AD17C8" w14:textId="77777777" w:rsidR="00843D52" w:rsidRPr="00843D52" w:rsidRDefault="00843D52" w:rsidP="00843D52">
            <w:pPr>
              <w:spacing w:after="0" w:line="240" w:lineRule="auto"/>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Otros Ingresos por Atención Médica a no Derechohabientes</w:t>
            </w:r>
          </w:p>
        </w:tc>
        <w:tc>
          <w:tcPr>
            <w:tcW w:w="1791" w:type="dxa"/>
            <w:tcBorders>
              <w:top w:val="nil"/>
              <w:left w:val="nil"/>
              <w:bottom w:val="nil"/>
              <w:right w:val="nil"/>
            </w:tcBorders>
            <w:shd w:val="clear" w:color="000000" w:fill="F2F2F2"/>
            <w:vAlign w:val="center"/>
            <w:hideMark/>
          </w:tcPr>
          <w:p w14:paraId="65761B83"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22,451,882.5</w:t>
            </w:r>
          </w:p>
        </w:tc>
        <w:tc>
          <w:tcPr>
            <w:tcW w:w="1791" w:type="dxa"/>
            <w:tcBorders>
              <w:top w:val="nil"/>
              <w:left w:val="nil"/>
              <w:bottom w:val="nil"/>
              <w:right w:val="nil"/>
            </w:tcBorders>
            <w:shd w:val="clear" w:color="000000" w:fill="F2F2F2"/>
            <w:vAlign w:val="center"/>
            <w:hideMark/>
          </w:tcPr>
          <w:p w14:paraId="7F0A51D8" w14:textId="77777777" w:rsidR="00843D52" w:rsidRPr="00843D52" w:rsidRDefault="00843D52" w:rsidP="00843D52">
            <w:pPr>
              <w:spacing w:after="0" w:line="240" w:lineRule="auto"/>
              <w:jc w:val="right"/>
              <w:rPr>
                <w:rFonts w:ascii="Montserrat" w:eastAsia="Times New Roman" w:hAnsi="Montserrat"/>
                <w:color w:val="000000"/>
                <w:sz w:val="15"/>
                <w:szCs w:val="15"/>
                <w:lang w:val="es-MX" w:eastAsia="es-MX"/>
              </w:rPr>
            </w:pPr>
            <w:r w:rsidRPr="00843D52">
              <w:rPr>
                <w:rFonts w:ascii="Montserrat" w:eastAsia="Times New Roman" w:hAnsi="Montserrat"/>
                <w:color w:val="000000"/>
                <w:sz w:val="15"/>
                <w:szCs w:val="15"/>
                <w:lang w:val="es-MX" w:eastAsia="es-MX"/>
              </w:rPr>
              <w:t>15,516,726.2</w:t>
            </w:r>
          </w:p>
        </w:tc>
      </w:tr>
      <w:tr w:rsidR="00843D52" w:rsidRPr="00843D52" w14:paraId="1027E049" w14:textId="77777777" w:rsidTr="00E4106E">
        <w:trPr>
          <w:trHeight w:val="201"/>
          <w:jc w:val="center"/>
        </w:trPr>
        <w:tc>
          <w:tcPr>
            <w:tcW w:w="5373" w:type="dxa"/>
            <w:tcBorders>
              <w:top w:val="nil"/>
              <w:left w:val="nil"/>
              <w:bottom w:val="single" w:sz="12" w:space="0" w:color="808080"/>
              <w:right w:val="nil"/>
            </w:tcBorders>
            <w:shd w:val="clear" w:color="000000" w:fill="F2F2F2"/>
            <w:vAlign w:val="center"/>
            <w:hideMark/>
          </w:tcPr>
          <w:p w14:paraId="0129267F" w14:textId="77777777" w:rsidR="00843D52" w:rsidRPr="00843D52" w:rsidRDefault="00843D52" w:rsidP="00843D52">
            <w:pPr>
              <w:spacing w:after="0" w:line="240" w:lineRule="auto"/>
              <w:rPr>
                <w:rFonts w:ascii="Montserrat" w:eastAsia="Times New Roman" w:hAnsi="Montserrat"/>
                <w:b/>
                <w:bCs/>
                <w:color w:val="000000"/>
                <w:sz w:val="15"/>
                <w:szCs w:val="15"/>
                <w:lang w:val="es-MX" w:eastAsia="es-MX"/>
              </w:rPr>
            </w:pPr>
            <w:r w:rsidRPr="00843D52">
              <w:rPr>
                <w:rFonts w:ascii="Montserrat" w:eastAsia="Times New Roman" w:hAnsi="Montserrat"/>
                <w:b/>
                <w:bCs/>
                <w:color w:val="000000"/>
                <w:sz w:val="15"/>
                <w:szCs w:val="15"/>
                <w:lang w:val="es-MX" w:eastAsia="es-MX"/>
              </w:rPr>
              <w:t>Total Ingresos por Venta de Bienes y Prestación de Servicios</w:t>
            </w:r>
          </w:p>
        </w:tc>
        <w:tc>
          <w:tcPr>
            <w:tcW w:w="1791" w:type="dxa"/>
            <w:tcBorders>
              <w:top w:val="nil"/>
              <w:left w:val="nil"/>
              <w:bottom w:val="single" w:sz="12" w:space="0" w:color="808080"/>
              <w:right w:val="nil"/>
            </w:tcBorders>
            <w:shd w:val="clear" w:color="000000" w:fill="F2F2F2"/>
            <w:vAlign w:val="center"/>
            <w:hideMark/>
          </w:tcPr>
          <w:p w14:paraId="22B683B2" w14:textId="77777777" w:rsidR="00843D52" w:rsidRPr="00843D52" w:rsidRDefault="00843D52" w:rsidP="00843D52">
            <w:pPr>
              <w:spacing w:after="0" w:line="240" w:lineRule="auto"/>
              <w:jc w:val="right"/>
              <w:rPr>
                <w:rFonts w:ascii="Montserrat" w:eastAsia="Times New Roman" w:hAnsi="Montserrat"/>
                <w:b/>
                <w:bCs/>
                <w:color w:val="000000"/>
                <w:sz w:val="15"/>
                <w:szCs w:val="15"/>
                <w:lang w:val="es-MX" w:eastAsia="es-MX"/>
              </w:rPr>
            </w:pPr>
            <w:r w:rsidRPr="00843D52">
              <w:rPr>
                <w:rFonts w:ascii="Montserrat" w:eastAsia="Times New Roman" w:hAnsi="Montserrat"/>
                <w:b/>
                <w:bCs/>
                <w:color w:val="000000"/>
                <w:sz w:val="15"/>
                <w:szCs w:val="15"/>
                <w:lang w:val="es-MX" w:eastAsia="es-MX"/>
              </w:rPr>
              <w:t>1,063,297,914.9</w:t>
            </w:r>
          </w:p>
        </w:tc>
        <w:tc>
          <w:tcPr>
            <w:tcW w:w="1791" w:type="dxa"/>
            <w:tcBorders>
              <w:top w:val="nil"/>
              <w:left w:val="nil"/>
              <w:bottom w:val="single" w:sz="12" w:space="0" w:color="808080"/>
              <w:right w:val="nil"/>
            </w:tcBorders>
            <w:shd w:val="clear" w:color="000000" w:fill="F2F2F2"/>
            <w:vAlign w:val="center"/>
            <w:hideMark/>
          </w:tcPr>
          <w:p w14:paraId="4EE707ED" w14:textId="77777777" w:rsidR="00843D52" w:rsidRPr="00843D52" w:rsidRDefault="00843D52" w:rsidP="00843D52">
            <w:pPr>
              <w:spacing w:after="0" w:line="240" w:lineRule="auto"/>
              <w:jc w:val="right"/>
              <w:rPr>
                <w:rFonts w:ascii="Montserrat" w:eastAsia="Times New Roman" w:hAnsi="Montserrat"/>
                <w:b/>
                <w:bCs/>
                <w:color w:val="000000"/>
                <w:sz w:val="15"/>
                <w:szCs w:val="15"/>
                <w:lang w:val="es-MX" w:eastAsia="es-MX"/>
              </w:rPr>
            </w:pPr>
            <w:r w:rsidRPr="00843D52">
              <w:rPr>
                <w:rFonts w:ascii="Montserrat" w:eastAsia="Times New Roman" w:hAnsi="Montserrat"/>
                <w:b/>
                <w:bCs/>
                <w:color w:val="000000"/>
                <w:sz w:val="15"/>
                <w:szCs w:val="15"/>
                <w:lang w:val="es-MX" w:eastAsia="es-MX"/>
              </w:rPr>
              <w:t>867,538,06</w:t>
            </w:r>
            <w:r w:rsidR="00F70CA6">
              <w:rPr>
                <w:rFonts w:ascii="Montserrat" w:eastAsia="Times New Roman" w:hAnsi="Montserrat"/>
                <w:b/>
                <w:bCs/>
                <w:color w:val="000000"/>
                <w:sz w:val="15"/>
                <w:szCs w:val="15"/>
                <w:lang w:val="es-MX" w:eastAsia="es-MX"/>
              </w:rPr>
              <w:t>1</w:t>
            </w:r>
            <w:r w:rsidRPr="00843D52">
              <w:rPr>
                <w:rFonts w:ascii="Montserrat" w:eastAsia="Times New Roman" w:hAnsi="Montserrat"/>
                <w:b/>
                <w:bCs/>
                <w:color w:val="000000"/>
                <w:sz w:val="15"/>
                <w:szCs w:val="15"/>
                <w:lang w:val="es-MX" w:eastAsia="es-MX"/>
              </w:rPr>
              <w:t>.</w:t>
            </w:r>
            <w:r w:rsidR="00F70CA6">
              <w:rPr>
                <w:rFonts w:ascii="Montserrat" w:eastAsia="Times New Roman" w:hAnsi="Montserrat"/>
                <w:b/>
                <w:bCs/>
                <w:color w:val="000000"/>
                <w:sz w:val="15"/>
                <w:szCs w:val="15"/>
                <w:lang w:val="es-MX" w:eastAsia="es-MX"/>
              </w:rPr>
              <w:t>0</w:t>
            </w:r>
          </w:p>
        </w:tc>
      </w:tr>
    </w:tbl>
    <w:p w14:paraId="64D40FC2" w14:textId="77777777" w:rsidR="009D5C48" w:rsidRPr="002D072D" w:rsidRDefault="00F87200" w:rsidP="003F2A12">
      <w:pPr>
        <w:pStyle w:val="VIETAFLECHA"/>
        <w:numPr>
          <w:ilvl w:val="1"/>
          <w:numId w:val="37"/>
        </w:numPr>
        <w:ind w:left="357" w:hanging="357"/>
      </w:pPr>
      <w:r w:rsidRPr="008142BE">
        <w:rPr>
          <w:b/>
        </w:rPr>
        <w:t>3.3</w:t>
      </w:r>
      <w:r>
        <w:t xml:space="preserve"> </w:t>
      </w:r>
      <w:r w:rsidR="009D5C48" w:rsidRPr="002D072D">
        <w:t>Otros Ingresos y Beneficios</w:t>
      </w:r>
    </w:p>
    <w:p w14:paraId="366D6B01" w14:textId="77777777" w:rsidR="009D5C48" w:rsidRDefault="009D5C48" w:rsidP="00C16E7C">
      <w:pPr>
        <w:pStyle w:val="TEXTONORMAL"/>
      </w:pPr>
      <w:r>
        <w:t xml:space="preserve">Los Otros Ingresos y Beneficios al </w:t>
      </w:r>
      <w:r w:rsidR="00424E08">
        <w:t>30</w:t>
      </w:r>
      <w:r w:rsidR="000606D7">
        <w:t xml:space="preserve"> de septiembre</w:t>
      </w:r>
      <w:r w:rsidR="00424E08" w:rsidRPr="00C92890">
        <w:t xml:space="preserve"> de 2022 y 2021</w:t>
      </w:r>
      <w:r>
        <w:t>, se integran de la siguiente manera:</w:t>
      </w:r>
    </w:p>
    <w:p w14:paraId="1EAEE3ED" w14:textId="77777777" w:rsidR="001A518C" w:rsidRDefault="001A518C" w:rsidP="00C16E7C">
      <w:pPr>
        <w:pStyle w:val="TEXTONORMAL"/>
      </w:pPr>
    </w:p>
    <w:tbl>
      <w:tblPr>
        <w:tblW w:w="11344" w:type="dxa"/>
        <w:jc w:val="center"/>
        <w:tblCellMar>
          <w:left w:w="70" w:type="dxa"/>
          <w:right w:w="70" w:type="dxa"/>
        </w:tblCellMar>
        <w:tblLook w:val="04A0" w:firstRow="1" w:lastRow="0" w:firstColumn="1" w:lastColumn="0" w:noHBand="0" w:noVBand="1"/>
      </w:tblPr>
      <w:tblGrid>
        <w:gridCol w:w="6806"/>
        <w:gridCol w:w="2269"/>
        <w:gridCol w:w="2269"/>
      </w:tblGrid>
      <w:tr w:rsidR="001A518C" w:rsidRPr="001A518C" w14:paraId="459BF464" w14:textId="77777777" w:rsidTr="001A518C">
        <w:trPr>
          <w:trHeight w:val="258"/>
          <w:jc w:val="center"/>
        </w:trPr>
        <w:tc>
          <w:tcPr>
            <w:tcW w:w="680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66AB76A" w14:textId="77777777" w:rsidR="001A518C" w:rsidRPr="001A518C" w:rsidRDefault="001A518C" w:rsidP="001A518C">
            <w:pPr>
              <w:spacing w:after="0" w:line="240" w:lineRule="auto"/>
              <w:jc w:val="center"/>
              <w:rPr>
                <w:rFonts w:ascii="Montserrat" w:eastAsia="Times New Roman" w:hAnsi="Montserrat"/>
                <w:b/>
                <w:bCs/>
                <w:color w:val="FFFFFF"/>
                <w:sz w:val="16"/>
                <w:szCs w:val="16"/>
                <w:lang w:val="es-MX" w:eastAsia="es-MX"/>
              </w:rPr>
            </w:pPr>
            <w:r w:rsidRPr="001A518C">
              <w:rPr>
                <w:rFonts w:ascii="Montserrat" w:eastAsia="Times New Roman" w:hAnsi="Montserrat"/>
                <w:b/>
                <w:bCs/>
                <w:color w:val="FFFFFF"/>
                <w:sz w:val="16"/>
                <w:szCs w:val="16"/>
                <w:lang w:val="es-MX" w:eastAsia="es-MX"/>
              </w:rPr>
              <w:t>Concepto</w:t>
            </w:r>
          </w:p>
        </w:tc>
        <w:tc>
          <w:tcPr>
            <w:tcW w:w="453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70B3FD1" w14:textId="77777777" w:rsidR="001A518C" w:rsidRPr="001A518C" w:rsidRDefault="001A518C" w:rsidP="001A518C">
            <w:pPr>
              <w:spacing w:after="0" w:line="240" w:lineRule="auto"/>
              <w:jc w:val="center"/>
              <w:rPr>
                <w:rFonts w:ascii="Montserrat" w:eastAsia="Times New Roman" w:hAnsi="Montserrat"/>
                <w:b/>
                <w:bCs/>
                <w:color w:val="FFFFFF"/>
                <w:sz w:val="16"/>
                <w:szCs w:val="16"/>
                <w:lang w:val="es-MX" w:eastAsia="es-MX"/>
              </w:rPr>
            </w:pPr>
            <w:r w:rsidRPr="001A518C">
              <w:rPr>
                <w:rFonts w:ascii="Montserrat" w:eastAsia="Times New Roman" w:hAnsi="Montserrat"/>
                <w:b/>
                <w:bCs/>
                <w:color w:val="FFFFFF"/>
                <w:sz w:val="16"/>
                <w:szCs w:val="16"/>
                <w:lang w:val="es-MX" w:eastAsia="es-MX"/>
              </w:rPr>
              <w:t>Cifras en pesos</w:t>
            </w:r>
          </w:p>
        </w:tc>
      </w:tr>
      <w:tr w:rsidR="001A518C" w:rsidRPr="001A518C" w14:paraId="3C0516D4" w14:textId="77777777" w:rsidTr="001A518C">
        <w:trPr>
          <w:trHeight w:val="258"/>
          <w:jc w:val="center"/>
        </w:trPr>
        <w:tc>
          <w:tcPr>
            <w:tcW w:w="6806" w:type="dxa"/>
            <w:vMerge/>
            <w:tcBorders>
              <w:top w:val="single" w:sz="12" w:space="0" w:color="808080"/>
              <w:left w:val="single" w:sz="12" w:space="0" w:color="FFFFFF"/>
              <w:bottom w:val="double" w:sz="6" w:space="0" w:color="808080"/>
              <w:right w:val="single" w:sz="12" w:space="0" w:color="FFFFFF"/>
            </w:tcBorders>
            <w:vAlign w:val="center"/>
            <w:hideMark/>
          </w:tcPr>
          <w:p w14:paraId="0AFB7467" w14:textId="77777777" w:rsidR="001A518C" w:rsidRPr="001A518C" w:rsidRDefault="001A518C" w:rsidP="001A518C">
            <w:pPr>
              <w:spacing w:after="0" w:line="240" w:lineRule="auto"/>
              <w:rPr>
                <w:rFonts w:ascii="Montserrat" w:eastAsia="Times New Roman" w:hAnsi="Montserrat"/>
                <w:b/>
                <w:bCs/>
                <w:color w:val="FFFFFF"/>
                <w:sz w:val="16"/>
                <w:szCs w:val="16"/>
                <w:lang w:val="es-MX" w:eastAsia="es-MX"/>
              </w:rPr>
            </w:pPr>
          </w:p>
        </w:tc>
        <w:tc>
          <w:tcPr>
            <w:tcW w:w="2269" w:type="dxa"/>
            <w:tcBorders>
              <w:top w:val="nil"/>
              <w:left w:val="nil"/>
              <w:bottom w:val="double" w:sz="6" w:space="0" w:color="808080"/>
              <w:right w:val="single" w:sz="12" w:space="0" w:color="FFFFFF"/>
            </w:tcBorders>
            <w:shd w:val="clear" w:color="000000" w:fill="D4C19C"/>
            <w:vAlign w:val="center"/>
            <w:hideMark/>
          </w:tcPr>
          <w:p w14:paraId="6BAD3F40" w14:textId="77777777" w:rsidR="001A518C" w:rsidRPr="001A518C" w:rsidRDefault="001A518C" w:rsidP="001A518C">
            <w:pPr>
              <w:spacing w:after="0" w:line="240" w:lineRule="auto"/>
              <w:jc w:val="center"/>
              <w:rPr>
                <w:rFonts w:ascii="Montserrat" w:eastAsia="Times New Roman" w:hAnsi="Montserrat"/>
                <w:b/>
                <w:bCs/>
                <w:color w:val="FFFFFF"/>
                <w:sz w:val="16"/>
                <w:szCs w:val="16"/>
                <w:lang w:val="es-MX" w:eastAsia="es-MX"/>
              </w:rPr>
            </w:pPr>
            <w:r w:rsidRPr="001A518C">
              <w:rPr>
                <w:rFonts w:ascii="Montserrat" w:eastAsia="Times New Roman" w:hAnsi="Montserrat"/>
                <w:b/>
                <w:bCs/>
                <w:color w:val="FFFFFF"/>
                <w:sz w:val="16"/>
                <w:szCs w:val="16"/>
                <w:lang w:val="es-MX" w:eastAsia="es-MX"/>
              </w:rPr>
              <w:t>2022</w:t>
            </w:r>
          </w:p>
        </w:tc>
        <w:tc>
          <w:tcPr>
            <w:tcW w:w="2269" w:type="dxa"/>
            <w:tcBorders>
              <w:top w:val="nil"/>
              <w:left w:val="nil"/>
              <w:bottom w:val="double" w:sz="6" w:space="0" w:color="808080"/>
              <w:right w:val="single" w:sz="12" w:space="0" w:color="FFFFFF"/>
            </w:tcBorders>
            <w:shd w:val="clear" w:color="000000" w:fill="D4C19C"/>
            <w:vAlign w:val="center"/>
            <w:hideMark/>
          </w:tcPr>
          <w:p w14:paraId="70605E0D" w14:textId="77777777" w:rsidR="001A518C" w:rsidRPr="001A518C" w:rsidRDefault="001A518C" w:rsidP="001A518C">
            <w:pPr>
              <w:spacing w:after="0" w:line="240" w:lineRule="auto"/>
              <w:jc w:val="center"/>
              <w:rPr>
                <w:rFonts w:ascii="Montserrat" w:eastAsia="Times New Roman" w:hAnsi="Montserrat"/>
                <w:b/>
                <w:bCs/>
                <w:color w:val="FFFFFF"/>
                <w:sz w:val="16"/>
                <w:szCs w:val="16"/>
                <w:lang w:val="es-MX" w:eastAsia="es-MX"/>
              </w:rPr>
            </w:pPr>
            <w:r w:rsidRPr="001A518C">
              <w:rPr>
                <w:rFonts w:ascii="Montserrat" w:eastAsia="Times New Roman" w:hAnsi="Montserrat"/>
                <w:b/>
                <w:bCs/>
                <w:color w:val="FFFFFF"/>
                <w:sz w:val="16"/>
                <w:szCs w:val="16"/>
                <w:lang w:val="es-MX" w:eastAsia="es-MX"/>
              </w:rPr>
              <w:t>2021</w:t>
            </w:r>
          </w:p>
        </w:tc>
      </w:tr>
      <w:tr w:rsidR="001A518C" w:rsidRPr="001A518C" w14:paraId="4359C50F" w14:textId="77777777" w:rsidTr="001A518C">
        <w:trPr>
          <w:trHeight w:val="247"/>
          <w:jc w:val="center"/>
        </w:trPr>
        <w:tc>
          <w:tcPr>
            <w:tcW w:w="6806" w:type="dxa"/>
            <w:tcBorders>
              <w:top w:val="nil"/>
              <w:left w:val="nil"/>
              <w:bottom w:val="nil"/>
              <w:right w:val="nil"/>
            </w:tcBorders>
            <w:shd w:val="clear" w:color="000000" w:fill="F2F2F2"/>
            <w:vAlign w:val="center"/>
            <w:hideMark/>
          </w:tcPr>
          <w:p w14:paraId="2A499178" w14:textId="77777777" w:rsidR="001A518C" w:rsidRPr="001A518C" w:rsidRDefault="001A518C" w:rsidP="001A518C">
            <w:pPr>
              <w:spacing w:after="0" w:line="240" w:lineRule="auto"/>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 xml:space="preserve">Ingresos Financieros </w:t>
            </w:r>
            <w:r w:rsidRPr="001A518C">
              <w:rPr>
                <w:rFonts w:ascii="Montserrat" w:eastAsia="Times New Roman" w:hAnsi="Montserrat"/>
                <w:b/>
                <w:bCs/>
                <w:color w:val="000000"/>
                <w:sz w:val="15"/>
                <w:szCs w:val="15"/>
                <w:lang w:val="es-MX" w:eastAsia="es-MX"/>
              </w:rPr>
              <w:t>(3.3.a)</w:t>
            </w:r>
          </w:p>
        </w:tc>
        <w:tc>
          <w:tcPr>
            <w:tcW w:w="2269" w:type="dxa"/>
            <w:tcBorders>
              <w:top w:val="nil"/>
              <w:left w:val="nil"/>
              <w:bottom w:val="nil"/>
              <w:right w:val="nil"/>
            </w:tcBorders>
            <w:shd w:val="clear" w:color="000000" w:fill="F2F2F2"/>
            <w:vAlign w:val="center"/>
            <w:hideMark/>
          </w:tcPr>
          <w:p w14:paraId="635E62E3"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14,000,385,705.2</w:t>
            </w:r>
          </w:p>
        </w:tc>
        <w:tc>
          <w:tcPr>
            <w:tcW w:w="2269" w:type="dxa"/>
            <w:tcBorders>
              <w:top w:val="nil"/>
              <w:left w:val="nil"/>
              <w:bottom w:val="nil"/>
              <w:right w:val="nil"/>
            </w:tcBorders>
            <w:shd w:val="clear" w:color="000000" w:fill="F2F2F2"/>
            <w:vAlign w:val="center"/>
            <w:hideMark/>
          </w:tcPr>
          <w:p w14:paraId="37048471"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10,781,569,300.5</w:t>
            </w:r>
          </w:p>
        </w:tc>
      </w:tr>
      <w:tr w:rsidR="001A518C" w:rsidRPr="001A518C" w14:paraId="7892F40E" w14:textId="77777777" w:rsidTr="001A518C">
        <w:trPr>
          <w:trHeight w:val="236"/>
          <w:jc w:val="center"/>
        </w:trPr>
        <w:tc>
          <w:tcPr>
            <w:tcW w:w="6806" w:type="dxa"/>
            <w:tcBorders>
              <w:top w:val="nil"/>
              <w:left w:val="nil"/>
              <w:bottom w:val="nil"/>
              <w:right w:val="nil"/>
            </w:tcBorders>
            <w:shd w:val="clear" w:color="000000" w:fill="F2F2F2"/>
            <w:vAlign w:val="center"/>
            <w:hideMark/>
          </w:tcPr>
          <w:p w14:paraId="65E99A67" w14:textId="77777777" w:rsidR="001A518C" w:rsidRPr="001A518C" w:rsidRDefault="001A518C" w:rsidP="001A518C">
            <w:pPr>
              <w:spacing w:after="0" w:line="240" w:lineRule="auto"/>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Otros Ingresos y Beneficios Varios</w:t>
            </w:r>
            <w:r w:rsidRPr="001A518C">
              <w:rPr>
                <w:rFonts w:ascii="Montserrat" w:eastAsia="Times New Roman" w:hAnsi="Montserrat"/>
                <w:b/>
                <w:bCs/>
                <w:color w:val="000000"/>
                <w:sz w:val="15"/>
                <w:szCs w:val="15"/>
                <w:lang w:val="es-MX" w:eastAsia="es-MX"/>
              </w:rPr>
              <w:t xml:space="preserve"> (3.3.c)</w:t>
            </w:r>
          </w:p>
        </w:tc>
        <w:tc>
          <w:tcPr>
            <w:tcW w:w="2269" w:type="dxa"/>
            <w:tcBorders>
              <w:top w:val="nil"/>
              <w:left w:val="nil"/>
              <w:bottom w:val="nil"/>
              <w:right w:val="nil"/>
            </w:tcBorders>
            <w:shd w:val="clear" w:color="000000" w:fill="F2F2F2"/>
            <w:vAlign w:val="center"/>
            <w:hideMark/>
          </w:tcPr>
          <w:p w14:paraId="4DD545F9"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10,197,382,840.5</w:t>
            </w:r>
          </w:p>
        </w:tc>
        <w:tc>
          <w:tcPr>
            <w:tcW w:w="2269" w:type="dxa"/>
            <w:tcBorders>
              <w:top w:val="nil"/>
              <w:left w:val="nil"/>
              <w:bottom w:val="nil"/>
              <w:right w:val="nil"/>
            </w:tcBorders>
            <w:shd w:val="clear" w:color="000000" w:fill="F2F2F2"/>
            <w:vAlign w:val="center"/>
            <w:hideMark/>
          </w:tcPr>
          <w:p w14:paraId="09EA3229"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5,705,739,013.1</w:t>
            </w:r>
          </w:p>
        </w:tc>
      </w:tr>
      <w:tr w:rsidR="001A518C" w:rsidRPr="001A518C" w14:paraId="15F331AC" w14:textId="77777777" w:rsidTr="001A518C">
        <w:trPr>
          <w:trHeight w:val="236"/>
          <w:jc w:val="center"/>
        </w:trPr>
        <w:tc>
          <w:tcPr>
            <w:tcW w:w="6806" w:type="dxa"/>
            <w:tcBorders>
              <w:top w:val="nil"/>
              <w:left w:val="nil"/>
              <w:bottom w:val="nil"/>
              <w:right w:val="nil"/>
            </w:tcBorders>
            <w:shd w:val="clear" w:color="000000" w:fill="F2F2F2"/>
            <w:vAlign w:val="center"/>
            <w:hideMark/>
          </w:tcPr>
          <w:p w14:paraId="38A9C0E3" w14:textId="77777777" w:rsidR="001A518C" w:rsidRPr="001A518C" w:rsidRDefault="001A518C" w:rsidP="001A518C">
            <w:pPr>
              <w:spacing w:after="0" w:line="240" w:lineRule="auto"/>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 xml:space="preserve">Incremento por Variación de Inventarios </w:t>
            </w:r>
            <w:r w:rsidRPr="001A518C">
              <w:rPr>
                <w:rFonts w:ascii="Montserrat" w:eastAsia="Times New Roman" w:hAnsi="Montserrat"/>
                <w:b/>
                <w:bCs/>
                <w:color w:val="000000"/>
                <w:sz w:val="15"/>
                <w:szCs w:val="15"/>
                <w:lang w:val="es-MX" w:eastAsia="es-MX"/>
              </w:rPr>
              <w:t>(3.3.b)</w:t>
            </w:r>
          </w:p>
        </w:tc>
        <w:tc>
          <w:tcPr>
            <w:tcW w:w="2269" w:type="dxa"/>
            <w:tcBorders>
              <w:top w:val="nil"/>
              <w:left w:val="nil"/>
              <w:bottom w:val="nil"/>
              <w:right w:val="nil"/>
            </w:tcBorders>
            <w:shd w:val="clear" w:color="000000" w:fill="F2F2F2"/>
            <w:vAlign w:val="center"/>
            <w:hideMark/>
          </w:tcPr>
          <w:p w14:paraId="63598B6C"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2,632,792,390.6</w:t>
            </w:r>
          </w:p>
        </w:tc>
        <w:tc>
          <w:tcPr>
            <w:tcW w:w="2269" w:type="dxa"/>
            <w:tcBorders>
              <w:top w:val="nil"/>
              <w:left w:val="nil"/>
              <w:bottom w:val="nil"/>
              <w:right w:val="nil"/>
            </w:tcBorders>
            <w:shd w:val="clear" w:color="000000" w:fill="F2F2F2"/>
            <w:vAlign w:val="center"/>
            <w:hideMark/>
          </w:tcPr>
          <w:p w14:paraId="7D468898"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5,633,015,739.4</w:t>
            </w:r>
          </w:p>
        </w:tc>
      </w:tr>
      <w:tr w:rsidR="001A518C" w:rsidRPr="001A518C" w14:paraId="71980724" w14:textId="77777777" w:rsidTr="001A518C">
        <w:trPr>
          <w:trHeight w:val="236"/>
          <w:jc w:val="center"/>
        </w:trPr>
        <w:tc>
          <w:tcPr>
            <w:tcW w:w="6806" w:type="dxa"/>
            <w:tcBorders>
              <w:top w:val="nil"/>
              <w:left w:val="nil"/>
              <w:bottom w:val="nil"/>
              <w:right w:val="nil"/>
            </w:tcBorders>
            <w:shd w:val="clear" w:color="000000" w:fill="F2F2F2"/>
            <w:vAlign w:val="center"/>
            <w:hideMark/>
          </w:tcPr>
          <w:p w14:paraId="2DC5501A" w14:textId="77777777" w:rsidR="001A518C" w:rsidRPr="001A518C" w:rsidRDefault="001A518C" w:rsidP="001A518C">
            <w:pPr>
              <w:spacing w:after="0" w:line="240" w:lineRule="auto"/>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Disminución del Exceso de Provisiones</w:t>
            </w:r>
          </w:p>
        </w:tc>
        <w:tc>
          <w:tcPr>
            <w:tcW w:w="2269" w:type="dxa"/>
            <w:tcBorders>
              <w:top w:val="nil"/>
              <w:left w:val="nil"/>
              <w:bottom w:val="nil"/>
              <w:right w:val="nil"/>
            </w:tcBorders>
            <w:shd w:val="clear" w:color="000000" w:fill="F2F2F2"/>
            <w:vAlign w:val="center"/>
            <w:hideMark/>
          </w:tcPr>
          <w:p w14:paraId="059ECD44"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6,427,044.7</w:t>
            </w:r>
          </w:p>
        </w:tc>
        <w:tc>
          <w:tcPr>
            <w:tcW w:w="2269" w:type="dxa"/>
            <w:tcBorders>
              <w:top w:val="nil"/>
              <w:left w:val="nil"/>
              <w:bottom w:val="nil"/>
              <w:right w:val="nil"/>
            </w:tcBorders>
            <w:shd w:val="clear" w:color="000000" w:fill="F2F2F2"/>
            <w:vAlign w:val="center"/>
            <w:hideMark/>
          </w:tcPr>
          <w:p w14:paraId="383558AF"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540,158.5</w:t>
            </w:r>
          </w:p>
        </w:tc>
      </w:tr>
      <w:tr w:rsidR="001A518C" w:rsidRPr="001A518C" w14:paraId="10C69BF8" w14:textId="77777777" w:rsidTr="001A518C">
        <w:trPr>
          <w:trHeight w:val="306"/>
          <w:jc w:val="center"/>
        </w:trPr>
        <w:tc>
          <w:tcPr>
            <w:tcW w:w="6806" w:type="dxa"/>
            <w:tcBorders>
              <w:top w:val="nil"/>
              <w:left w:val="nil"/>
              <w:bottom w:val="nil"/>
              <w:right w:val="nil"/>
            </w:tcBorders>
            <w:shd w:val="clear" w:color="000000" w:fill="F2F2F2"/>
            <w:vAlign w:val="center"/>
            <w:hideMark/>
          </w:tcPr>
          <w:p w14:paraId="7056DA8C" w14:textId="77777777" w:rsidR="001A518C" w:rsidRPr="001A518C" w:rsidRDefault="001A518C" w:rsidP="001A518C">
            <w:pPr>
              <w:spacing w:after="0" w:line="240" w:lineRule="auto"/>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Disminución del Exceso de Estimaciones por Pérdida o Deterioro u Obsolescencia</w:t>
            </w:r>
          </w:p>
        </w:tc>
        <w:tc>
          <w:tcPr>
            <w:tcW w:w="2269" w:type="dxa"/>
            <w:tcBorders>
              <w:top w:val="nil"/>
              <w:left w:val="nil"/>
              <w:bottom w:val="nil"/>
              <w:right w:val="nil"/>
            </w:tcBorders>
            <w:shd w:val="clear" w:color="000000" w:fill="F2F2F2"/>
            <w:vAlign w:val="center"/>
            <w:hideMark/>
          </w:tcPr>
          <w:p w14:paraId="4F0B3168"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0.0</w:t>
            </w:r>
          </w:p>
        </w:tc>
        <w:tc>
          <w:tcPr>
            <w:tcW w:w="2269" w:type="dxa"/>
            <w:tcBorders>
              <w:top w:val="nil"/>
              <w:left w:val="nil"/>
              <w:bottom w:val="nil"/>
              <w:right w:val="nil"/>
            </w:tcBorders>
            <w:shd w:val="clear" w:color="000000" w:fill="F2F2F2"/>
            <w:vAlign w:val="center"/>
            <w:hideMark/>
          </w:tcPr>
          <w:p w14:paraId="7B73490E" w14:textId="77777777" w:rsidR="001A518C" w:rsidRPr="001A518C" w:rsidRDefault="001A518C" w:rsidP="001A518C">
            <w:pPr>
              <w:spacing w:after="0" w:line="240" w:lineRule="auto"/>
              <w:jc w:val="right"/>
              <w:rPr>
                <w:rFonts w:ascii="Montserrat" w:eastAsia="Times New Roman" w:hAnsi="Montserrat"/>
                <w:color w:val="000000"/>
                <w:sz w:val="15"/>
                <w:szCs w:val="15"/>
                <w:lang w:val="es-MX" w:eastAsia="es-MX"/>
              </w:rPr>
            </w:pPr>
            <w:r w:rsidRPr="001A518C">
              <w:rPr>
                <w:rFonts w:ascii="Montserrat" w:eastAsia="Times New Roman" w:hAnsi="Montserrat"/>
                <w:color w:val="000000"/>
                <w:sz w:val="15"/>
                <w:szCs w:val="15"/>
                <w:lang w:val="es-MX" w:eastAsia="es-MX"/>
              </w:rPr>
              <w:t>0.0</w:t>
            </w:r>
          </w:p>
        </w:tc>
      </w:tr>
      <w:tr w:rsidR="001A518C" w:rsidRPr="001A518C" w14:paraId="4CF13AAC" w14:textId="77777777" w:rsidTr="001A518C">
        <w:trPr>
          <w:trHeight w:val="247"/>
          <w:jc w:val="center"/>
        </w:trPr>
        <w:tc>
          <w:tcPr>
            <w:tcW w:w="6806" w:type="dxa"/>
            <w:tcBorders>
              <w:top w:val="nil"/>
              <w:left w:val="nil"/>
              <w:bottom w:val="single" w:sz="12" w:space="0" w:color="808080"/>
              <w:right w:val="nil"/>
            </w:tcBorders>
            <w:shd w:val="clear" w:color="000000" w:fill="F2F2F2"/>
            <w:vAlign w:val="center"/>
            <w:hideMark/>
          </w:tcPr>
          <w:p w14:paraId="2E5A3291" w14:textId="77777777" w:rsidR="001A518C" w:rsidRPr="001A518C" w:rsidRDefault="001A518C" w:rsidP="001A518C">
            <w:pPr>
              <w:spacing w:after="0" w:line="240" w:lineRule="auto"/>
              <w:rPr>
                <w:rFonts w:ascii="Montserrat" w:eastAsia="Times New Roman" w:hAnsi="Montserrat"/>
                <w:b/>
                <w:bCs/>
                <w:color w:val="000000"/>
                <w:sz w:val="15"/>
                <w:szCs w:val="15"/>
                <w:lang w:val="es-MX" w:eastAsia="es-MX"/>
              </w:rPr>
            </w:pPr>
            <w:r w:rsidRPr="001A518C">
              <w:rPr>
                <w:rFonts w:ascii="Montserrat" w:eastAsia="Times New Roman" w:hAnsi="Montserrat"/>
                <w:b/>
                <w:bCs/>
                <w:color w:val="000000"/>
                <w:sz w:val="15"/>
                <w:szCs w:val="15"/>
                <w:lang w:val="es-MX" w:eastAsia="es-MX"/>
              </w:rPr>
              <w:t xml:space="preserve">Total Otros Ingresos y Beneficios </w:t>
            </w:r>
          </w:p>
        </w:tc>
        <w:tc>
          <w:tcPr>
            <w:tcW w:w="2269" w:type="dxa"/>
            <w:tcBorders>
              <w:top w:val="nil"/>
              <w:left w:val="nil"/>
              <w:bottom w:val="single" w:sz="12" w:space="0" w:color="808080"/>
              <w:right w:val="nil"/>
            </w:tcBorders>
            <w:shd w:val="clear" w:color="000000" w:fill="F2F2F2"/>
            <w:vAlign w:val="center"/>
            <w:hideMark/>
          </w:tcPr>
          <w:p w14:paraId="5552A45D" w14:textId="77777777" w:rsidR="001A518C" w:rsidRPr="001A518C" w:rsidRDefault="001A518C" w:rsidP="001A518C">
            <w:pPr>
              <w:spacing w:after="0" w:line="240" w:lineRule="auto"/>
              <w:jc w:val="right"/>
              <w:rPr>
                <w:rFonts w:ascii="Montserrat" w:eastAsia="Times New Roman" w:hAnsi="Montserrat"/>
                <w:b/>
                <w:bCs/>
                <w:color w:val="000000"/>
                <w:sz w:val="15"/>
                <w:szCs w:val="15"/>
                <w:lang w:val="es-MX" w:eastAsia="es-MX"/>
              </w:rPr>
            </w:pPr>
            <w:r w:rsidRPr="001A518C">
              <w:rPr>
                <w:rFonts w:ascii="Montserrat" w:eastAsia="Times New Roman" w:hAnsi="Montserrat"/>
                <w:b/>
                <w:bCs/>
                <w:color w:val="000000"/>
                <w:sz w:val="15"/>
                <w:szCs w:val="15"/>
                <w:lang w:val="es-MX" w:eastAsia="es-MX"/>
              </w:rPr>
              <w:t>26,836,987,98</w:t>
            </w:r>
            <w:r w:rsidR="00BF25A2">
              <w:rPr>
                <w:rFonts w:ascii="Montserrat" w:eastAsia="Times New Roman" w:hAnsi="Montserrat"/>
                <w:b/>
                <w:bCs/>
                <w:color w:val="000000"/>
                <w:sz w:val="15"/>
                <w:szCs w:val="15"/>
                <w:lang w:val="es-MX" w:eastAsia="es-MX"/>
              </w:rPr>
              <w:t>1.0</w:t>
            </w:r>
          </w:p>
        </w:tc>
        <w:tc>
          <w:tcPr>
            <w:tcW w:w="2269" w:type="dxa"/>
            <w:tcBorders>
              <w:top w:val="nil"/>
              <w:left w:val="nil"/>
              <w:bottom w:val="single" w:sz="12" w:space="0" w:color="808080"/>
              <w:right w:val="nil"/>
            </w:tcBorders>
            <w:shd w:val="clear" w:color="000000" w:fill="F2F2F2"/>
            <w:vAlign w:val="center"/>
            <w:hideMark/>
          </w:tcPr>
          <w:p w14:paraId="5E786CC2" w14:textId="77777777" w:rsidR="001A518C" w:rsidRPr="001A518C" w:rsidRDefault="001A518C" w:rsidP="001A518C">
            <w:pPr>
              <w:spacing w:after="0" w:line="240" w:lineRule="auto"/>
              <w:jc w:val="right"/>
              <w:rPr>
                <w:rFonts w:ascii="Montserrat" w:eastAsia="Times New Roman" w:hAnsi="Montserrat"/>
                <w:b/>
                <w:bCs/>
                <w:color w:val="000000"/>
                <w:sz w:val="15"/>
                <w:szCs w:val="15"/>
                <w:lang w:val="es-MX" w:eastAsia="es-MX"/>
              </w:rPr>
            </w:pPr>
            <w:r w:rsidRPr="001A518C">
              <w:rPr>
                <w:rFonts w:ascii="Montserrat" w:eastAsia="Times New Roman" w:hAnsi="Montserrat"/>
                <w:b/>
                <w:bCs/>
                <w:color w:val="000000"/>
                <w:sz w:val="15"/>
                <w:szCs w:val="15"/>
                <w:lang w:val="es-MX" w:eastAsia="es-MX"/>
              </w:rPr>
              <w:t>22,120,864,211.5</w:t>
            </w:r>
          </w:p>
        </w:tc>
      </w:tr>
    </w:tbl>
    <w:p w14:paraId="5D64BD69" w14:textId="77777777" w:rsidR="006C2072" w:rsidRDefault="006C2072" w:rsidP="00C16E7C">
      <w:pPr>
        <w:pStyle w:val="TEXTONORMAL"/>
      </w:pPr>
    </w:p>
    <w:p w14:paraId="7CC358AE"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3.3.a)</w:t>
      </w:r>
      <w:r w:rsidRPr="00B32487">
        <w:rPr>
          <w:rFonts w:ascii="Montserrat" w:hAnsi="Montserrat"/>
          <w:sz w:val="18"/>
          <w:szCs w:val="18"/>
        </w:rPr>
        <w:t xml:space="preserve"> Los intereses ganados se reconocen en los estados de actividades conforme se devengan.</w:t>
      </w:r>
    </w:p>
    <w:p w14:paraId="6D2E0EDC" w14:textId="77777777" w:rsidR="00620DFB" w:rsidRPr="00B32487" w:rsidRDefault="00620DFB" w:rsidP="00620DFB">
      <w:pPr>
        <w:autoSpaceDE w:val="0"/>
        <w:autoSpaceDN w:val="0"/>
        <w:spacing w:after="120" w:line="250" w:lineRule="exact"/>
        <w:jc w:val="both"/>
        <w:rPr>
          <w:rFonts w:ascii="Montserrat" w:hAnsi="Montserrat"/>
          <w:sz w:val="18"/>
          <w:szCs w:val="18"/>
        </w:rPr>
      </w:pPr>
    </w:p>
    <w:p w14:paraId="1AFCED4F"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3.3.b)</w:t>
      </w:r>
      <w:r>
        <w:rPr>
          <w:rFonts w:ascii="Montserrat" w:hAnsi="Montserrat"/>
          <w:sz w:val="18"/>
          <w:szCs w:val="18"/>
        </w:rPr>
        <w:t xml:space="preserve"> Al </w:t>
      </w:r>
      <w:r w:rsidR="001A518C">
        <w:rPr>
          <w:rFonts w:ascii="Montserrat" w:hAnsi="Montserrat"/>
          <w:sz w:val="18"/>
          <w:szCs w:val="18"/>
        </w:rPr>
        <w:t>30 de septiembre</w:t>
      </w:r>
      <w:r w:rsidR="00283C7D" w:rsidRPr="00C92890">
        <w:rPr>
          <w:rFonts w:ascii="Montserrat" w:hAnsi="Montserrat"/>
          <w:sz w:val="18"/>
          <w:szCs w:val="18"/>
        </w:rPr>
        <w:t xml:space="preserve"> de 2022</w:t>
      </w:r>
      <w:r w:rsidR="00854AA2">
        <w:rPr>
          <w:rFonts w:ascii="Montserrat" w:hAnsi="Montserrat"/>
          <w:sz w:val="18"/>
          <w:szCs w:val="18"/>
        </w:rPr>
        <w:t xml:space="preserve"> y </w:t>
      </w:r>
      <w:r w:rsidR="00283C7D" w:rsidRPr="00C92890">
        <w:rPr>
          <w:rFonts w:ascii="Montserrat" w:hAnsi="Montserrat"/>
          <w:sz w:val="18"/>
          <w:szCs w:val="18"/>
        </w:rPr>
        <w:t>2021</w:t>
      </w:r>
      <w:r>
        <w:rPr>
          <w:rFonts w:ascii="Montserrat" w:hAnsi="Montserrat"/>
          <w:sz w:val="18"/>
          <w:szCs w:val="18"/>
        </w:rPr>
        <w:t xml:space="preserve">, se obtuvieron ingresos contables </w:t>
      </w:r>
      <w:r w:rsidRPr="00F62D7D">
        <w:rPr>
          <w:rFonts w:ascii="Montserrat" w:hAnsi="Montserrat"/>
          <w:sz w:val="18"/>
          <w:szCs w:val="18"/>
        </w:rPr>
        <w:t>que no afectan el flujo de efectivo del Instituto</w:t>
      </w:r>
      <w:r w:rsidR="001A518C">
        <w:rPr>
          <w:rFonts w:ascii="Montserrat" w:hAnsi="Montserrat"/>
          <w:sz w:val="18"/>
          <w:szCs w:val="18"/>
        </w:rPr>
        <w:t>, por 2,632,792,390.6</w:t>
      </w:r>
      <w:r>
        <w:rPr>
          <w:rFonts w:ascii="Montserrat" w:hAnsi="Montserrat"/>
          <w:sz w:val="18"/>
          <w:szCs w:val="18"/>
        </w:rPr>
        <w:t xml:space="preserve"> pesos y </w:t>
      </w:r>
      <w:r w:rsidR="001A518C">
        <w:rPr>
          <w:rFonts w:ascii="Montserrat" w:hAnsi="Montserrat"/>
          <w:sz w:val="18"/>
          <w:szCs w:val="18"/>
        </w:rPr>
        <w:t>5,633,015,739.4</w:t>
      </w:r>
      <w:r>
        <w:rPr>
          <w:rFonts w:ascii="Montserrat" w:hAnsi="Montserrat"/>
          <w:sz w:val="18"/>
          <w:szCs w:val="18"/>
        </w:rPr>
        <w:t xml:space="preserve"> pesos, respectivamente, por el incremento en la variación de inventarios, esto debido a la variación de precios como resultado de </w:t>
      </w:r>
      <w:r w:rsidRPr="00F62D7D">
        <w:rPr>
          <w:rFonts w:ascii="Montserrat" w:hAnsi="Montserrat"/>
          <w:sz w:val="18"/>
          <w:szCs w:val="18"/>
        </w:rPr>
        <w:t xml:space="preserve">comparar </w:t>
      </w:r>
      <w:r w:rsidRPr="00EA5CAA">
        <w:rPr>
          <w:rFonts w:ascii="Montserrat" w:hAnsi="Montserrat"/>
          <w:sz w:val="18"/>
          <w:szCs w:val="18"/>
        </w:rPr>
        <w:t>el precio unitario uniforme o el precio establecido en el catálogo institucional, respecto al</w:t>
      </w:r>
      <w:r w:rsidRPr="00F62D7D">
        <w:rPr>
          <w:rFonts w:ascii="Montserrat" w:hAnsi="Montserrat"/>
          <w:sz w:val="18"/>
          <w:szCs w:val="18"/>
        </w:rPr>
        <w:t xml:space="preserve"> precio de compra indicado en el alta</w:t>
      </w:r>
      <w:r>
        <w:rPr>
          <w:rFonts w:ascii="Montserrat" w:hAnsi="Montserrat"/>
          <w:sz w:val="18"/>
          <w:szCs w:val="18"/>
        </w:rPr>
        <w:t>.</w:t>
      </w:r>
    </w:p>
    <w:p w14:paraId="7428AC03" w14:textId="77777777" w:rsidR="00C23F06" w:rsidRPr="005C5528" w:rsidRDefault="00C23F06" w:rsidP="006C2072">
      <w:pPr>
        <w:autoSpaceDE w:val="0"/>
        <w:autoSpaceDN w:val="0"/>
        <w:spacing w:after="120" w:line="250" w:lineRule="exact"/>
        <w:ind w:left="714"/>
        <w:jc w:val="both"/>
        <w:rPr>
          <w:rFonts w:ascii="Montserrat" w:hAnsi="Montserrat"/>
          <w:sz w:val="18"/>
          <w:szCs w:val="18"/>
        </w:rPr>
      </w:pPr>
    </w:p>
    <w:p w14:paraId="575BF7C2" w14:textId="77777777" w:rsidR="00AE7030"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5C5528">
        <w:rPr>
          <w:rFonts w:ascii="Montserrat" w:hAnsi="Montserrat"/>
          <w:b/>
          <w:sz w:val="18"/>
          <w:szCs w:val="18"/>
        </w:rPr>
        <w:t>3.3</w:t>
      </w:r>
      <w:r>
        <w:rPr>
          <w:rFonts w:ascii="Montserrat" w:hAnsi="Montserrat"/>
          <w:b/>
          <w:sz w:val="18"/>
          <w:szCs w:val="18"/>
        </w:rPr>
        <w:t>.</w:t>
      </w:r>
      <w:r w:rsidRPr="005C5528">
        <w:rPr>
          <w:rFonts w:ascii="Montserrat" w:hAnsi="Montserrat"/>
          <w:b/>
          <w:sz w:val="18"/>
          <w:szCs w:val="18"/>
        </w:rPr>
        <w:t xml:space="preserve">c) </w:t>
      </w:r>
      <w:r w:rsidRPr="005C5528">
        <w:rPr>
          <w:rFonts w:ascii="Montserrat" w:hAnsi="Montserrat"/>
          <w:sz w:val="18"/>
          <w:szCs w:val="18"/>
        </w:rPr>
        <w:t xml:space="preserve">Al </w:t>
      </w:r>
      <w:r w:rsidR="00050D9A">
        <w:rPr>
          <w:rFonts w:ascii="Montserrat" w:hAnsi="Montserrat"/>
          <w:sz w:val="18"/>
          <w:szCs w:val="18"/>
        </w:rPr>
        <w:t>30 de septiembre</w:t>
      </w:r>
      <w:r w:rsidR="00283C7D" w:rsidRPr="00C92890">
        <w:rPr>
          <w:rFonts w:ascii="Montserrat" w:hAnsi="Montserrat"/>
          <w:sz w:val="18"/>
          <w:szCs w:val="18"/>
        </w:rPr>
        <w:t xml:space="preserve"> de 2022 y 2021</w:t>
      </w:r>
      <w:r w:rsidRPr="005C5528">
        <w:rPr>
          <w:rFonts w:ascii="Montserrat" w:hAnsi="Montserrat"/>
          <w:sz w:val="18"/>
          <w:szCs w:val="18"/>
        </w:rPr>
        <w:t>, el rubro de Otros Ingresos y Beneficios Varios se integran de la siguiente manera:</w:t>
      </w:r>
    </w:p>
    <w:tbl>
      <w:tblPr>
        <w:tblW w:w="11099" w:type="dxa"/>
        <w:jc w:val="center"/>
        <w:tblCellMar>
          <w:left w:w="70" w:type="dxa"/>
          <w:right w:w="70" w:type="dxa"/>
        </w:tblCellMar>
        <w:tblLook w:val="04A0" w:firstRow="1" w:lastRow="0" w:firstColumn="1" w:lastColumn="0" w:noHBand="0" w:noVBand="1"/>
      </w:tblPr>
      <w:tblGrid>
        <w:gridCol w:w="6659"/>
        <w:gridCol w:w="2220"/>
        <w:gridCol w:w="2220"/>
      </w:tblGrid>
      <w:tr w:rsidR="00243B14" w:rsidRPr="00243B14" w14:paraId="116BE721" w14:textId="77777777" w:rsidTr="00243B14">
        <w:trPr>
          <w:trHeight w:val="279"/>
          <w:jc w:val="center"/>
        </w:trPr>
        <w:tc>
          <w:tcPr>
            <w:tcW w:w="665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E3CB34D" w14:textId="77777777" w:rsidR="00243B14" w:rsidRPr="00243B14" w:rsidRDefault="00243B14" w:rsidP="00243B14">
            <w:pPr>
              <w:spacing w:after="0" w:line="240" w:lineRule="auto"/>
              <w:jc w:val="center"/>
              <w:rPr>
                <w:rFonts w:ascii="Montserrat" w:eastAsia="Times New Roman" w:hAnsi="Montserrat"/>
                <w:b/>
                <w:bCs/>
                <w:color w:val="FFFFFF"/>
                <w:sz w:val="16"/>
                <w:szCs w:val="16"/>
                <w:lang w:val="es-MX" w:eastAsia="es-MX"/>
              </w:rPr>
            </w:pPr>
            <w:r w:rsidRPr="00243B14">
              <w:rPr>
                <w:rFonts w:ascii="Montserrat" w:eastAsia="Times New Roman" w:hAnsi="Montserrat"/>
                <w:b/>
                <w:bCs/>
                <w:color w:val="FFFFFF"/>
                <w:sz w:val="16"/>
                <w:szCs w:val="16"/>
                <w:lang w:val="es-MX" w:eastAsia="es-MX"/>
              </w:rPr>
              <w:t>Concepto</w:t>
            </w:r>
          </w:p>
        </w:tc>
        <w:tc>
          <w:tcPr>
            <w:tcW w:w="443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9B78B67" w14:textId="77777777" w:rsidR="00243B14" w:rsidRPr="00243B14" w:rsidRDefault="00243B14" w:rsidP="00243B14">
            <w:pPr>
              <w:spacing w:after="0" w:line="240" w:lineRule="auto"/>
              <w:jc w:val="center"/>
              <w:rPr>
                <w:rFonts w:ascii="Montserrat" w:eastAsia="Times New Roman" w:hAnsi="Montserrat"/>
                <w:b/>
                <w:bCs/>
                <w:color w:val="FFFFFF"/>
                <w:sz w:val="16"/>
                <w:szCs w:val="16"/>
                <w:lang w:val="es-MX" w:eastAsia="es-MX"/>
              </w:rPr>
            </w:pPr>
            <w:r w:rsidRPr="00243B14">
              <w:rPr>
                <w:rFonts w:ascii="Montserrat" w:eastAsia="Times New Roman" w:hAnsi="Montserrat"/>
                <w:b/>
                <w:bCs/>
                <w:color w:val="FFFFFF"/>
                <w:sz w:val="16"/>
                <w:szCs w:val="16"/>
                <w:lang w:val="es-MX" w:eastAsia="es-MX"/>
              </w:rPr>
              <w:t>Cifras en pesos</w:t>
            </w:r>
          </w:p>
        </w:tc>
      </w:tr>
      <w:tr w:rsidR="00243B14" w:rsidRPr="00243B14" w14:paraId="3E52068D" w14:textId="77777777" w:rsidTr="00243B14">
        <w:trPr>
          <w:trHeight w:val="279"/>
          <w:jc w:val="center"/>
        </w:trPr>
        <w:tc>
          <w:tcPr>
            <w:tcW w:w="6659" w:type="dxa"/>
            <w:vMerge/>
            <w:tcBorders>
              <w:top w:val="single" w:sz="12" w:space="0" w:color="808080"/>
              <w:left w:val="single" w:sz="12" w:space="0" w:color="FFFFFF"/>
              <w:bottom w:val="double" w:sz="6" w:space="0" w:color="808080"/>
              <w:right w:val="single" w:sz="12" w:space="0" w:color="FFFFFF"/>
            </w:tcBorders>
            <w:vAlign w:val="center"/>
            <w:hideMark/>
          </w:tcPr>
          <w:p w14:paraId="738EA870" w14:textId="77777777" w:rsidR="00243B14" w:rsidRPr="00243B14" w:rsidRDefault="00243B14" w:rsidP="00243B14">
            <w:pPr>
              <w:spacing w:after="0" w:line="240" w:lineRule="auto"/>
              <w:rPr>
                <w:rFonts w:ascii="Montserrat" w:eastAsia="Times New Roman" w:hAnsi="Montserrat"/>
                <w:b/>
                <w:bCs/>
                <w:color w:val="FFFFFF"/>
                <w:sz w:val="16"/>
                <w:szCs w:val="16"/>
                <w:lang w:val="es-MX" w:eastAsia="es-MX"/>
              </w:rPr>
            </w:pPr>
          </w:p>
        </w:tc>
        <w:tc>
          <w:tcPr>
            <w:tcW w:w="2220" w:type="dxa"/>
            <w:tcBorders>
              <w:top w:val="nil"/>
              <w:left w:val="nil"/>
              <w:bottom w:val="double" w:sz="6" w:space="0" w:color="808080"/>
              <w:right w:val="single" w:sz="12" w:space="0" w:color="FFFFFF"/>
            </w:tcBorders>
            <w:shd w:val="clear" w:color="000000" w:fill="D4C19C"/>
            <w:vAlign w:val="center"/>
            <w:hideMark/>
          </w:tcPr>
          <w:p w14:paraId="42E0CD85" w14:textId="77777777" w:rsidR="00243B14" w:rsidRPr="00243B14" w:rsidRDefault="00243B14" w:rsidP="00243B14">
            <w:pPr>
              <w:spacing w:after="0" w:line="240" w:lineRule="auto"/>
              <w:jc w:val="center"/>
              <w:rPr>
                <w:rFonts w:ascii="Montserrat" w:eastAsia="Times New Roman" w:hAnsi="Montserrat"/>
                <w:b/>
                <w:bCs/>
                <w:color w:val="FFFFFF"/>
                <w:sz w:val="16"/>
                <w:szCs w:val="16"/>
                <w:lang w:val="es-MX" w:eastAsia="es-MX"/>
              </w:rPr>
            </w:pPr>
            <w:r w:rsidRPr="00243B14">
              <w:rPr>
                <w:rFonts w:ascii="Montserrat" w:eastAsia="Times New Roman" w:hAnsi="Montserrat"/>
                <w:b/>
                <w:bCs/>
                <w:color w:val="FFFFFF"/>
                <w:sz w:val="16"/>
                <w:szCs w:val="16"/>
                <w:lang w:val="es-MX" w:eastAsia="es-MX"/>
              </w:rPr>
              <w:t>2022</w:t>
            </w:r>
          </w:p>
        </w:tc>
        <w:tc>
          <w:tcPr>
            <w:tcW w:w="2220" w:type="dxa"/>
            <w:tcBorders>
              <w:top w:val="nil"/>
              <w:left w:val="nil"/>
              <w:bottom w:val="double" w:sz="6" w:space="0" w:color="808080"/>
              <w:right w:val="single" w:sz="12" w:space="0" w:color="FFFFFF"/>
            </w:tcBorders>
            <w:shd w:val="clear" w:color="000000" w:fill="D4C19C"/>
            <w:vAlign w:val="center"/>
            <w:hideMark/>
          </w:tcPr>
          <w:p w14:paraId="45393278" w14:textId="77777777" w:rsidR="00243B14" w:rsidRPr="00243B14" w:rsidRDefault="00243B14" w:rsidP="00243B14">
            <w:pPr>
              <w:spacing w:after="0" w:line="240" w:lineRule="auto"/>
              <w:jc w:val="center"/>
              <w:rPr>
                <w:rFonts w:ascii="Montserrat" w:eastAsia="Times New Roman" w:hAnsi="Montserrat"/>
                <w:b/>
                <w:bCs/>
                <w:color w:val="FFFFFF"/>
                <w:sz w:val="16"/>
                <w:szCs w:val="16"/>
                <w:lang w:val="es-MX" w:eastAsia="es-MX"/>
              </w:rPr>
            </w:pPr>
            <w:r w:rsidRPr="00243B14">
              <w:rPr>
                <w:rFonts w:ascii="Montserrat" w:eastAsia="Times New Roman" w:hAnsi="Montserrat"/>
                <w:b/>
                <w:bCs/>
                <w:color w:val="FFFFFF"/>
                <w:sz w:val="16"/>
                <w:szCs w:val="16"/>
                <w:lang w:val="es-MX" w:eastAsia="es-MX"/>
              </w:rPr>
              <w:t>2021</w:t>
            </w:r>
          </w:p>
        </w:tc>
      </w:tr>
      <w:tr w:rsidR="00243B14" w:rsidRPr="00243B14" w14:paraId="021B6D74" w14:textId="77777777" w:rsidTr="00243B14">
        <w:trPr>
          <w:trHeight w:val="267"/>
          <w:jc w:val="center"/>
        </w:trPr>
        <w:tc>
          <w:tcPr>
            <w:tcW w:w="6659" w:type="dxa"/>
            <w:tcBorders>
              <w:top w:val="nil"/>
              <w:left w:val="nil"/>
              <w:bottom w:val="nil"/>
              <w:right w:val="nil"/>
            </w:tcBorders>
            <w:shd w:val="clear" w:color="000000" w:fill="F2F2F2"/>
            <w:vAlign w:val="center"/>
            <w:hideMark/>
          </w:tcPr>
          <w:p w14:paraId="6BD22AB5"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Ventas, Comisiones y Servicios</w:t>
            </w:r>
          </w:p>
        </w:tc>
        <w:tc>
          <w:tcPr>
            <w:tcW w:w="2220" w:type="dxa"/>
            <w:tcBorders>
              <w:top w:val="nil"/>
              <w:left w:val="nil"/>
              <w:bottom w:val="nil"/>
              <w:right w:val="nil"/>
            </w:tcBorders>
            <w:shd w:val="clear" w:color="000000" w:fill="F2F2F2"/>
            <w:vAlign w:val="center"/>
            <w:hideMark/>
          </w:tcPr>
          <w:p w14:paraId="78BD59A3"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3,710,191,660.1</w:t>
            </w:r>
          </w:p>
        </w:tc>
        <w:tc>
          <w:tcPr>
            <w:tcW w:w="2220" w:type="dxa"/>
            <w:tcBorders>
              <w:top w:val="nil"/>
              <w:left w:val="nil"/>
              <w:bottom w:val="nil"/>
              <w:right w:val="nil"/>
            </w:tcBorders>
            <w:shd w:val="clear" w:color="000000" w:fill="F2F2F2"/>
            <w:vAlign w:val="center"/>
            <w:hideMark/>
          </w:tcPr>
          <w:p w14:paraId="1324B409"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3,121,499,517.1</w:t>
            </w:r>
          </w:p>
        </w:tc>
      </w:tr>
      <w:tr w:rsidR="00243B14" w:rsidRPr="00243B14" w14:paraId="2245A7B2" w14:textId="77777777" w:rsidTr="00243B14">
        <w:trPr>
          <w:trHeight w:val="254"/>
          <w:jc w:val="center"/>
        </w:trPr>
        <w:tc>
          <w:tcPr>
            <w:tcW w:w="6659" w:type="dxa"/>
            <w:tcBorders>
              <w:top w:val="nil"/>
              <w:left w:val="nil"/>
              <w:bottom w:val="nil"/>
              <w:right w:val="nil"/>
            </w:tcBorders>
            <w:shd w:val="clear" w:color="000000" w:fill="F2F2F2"/>
            <w:vAlign w:val="center"/>
            <w:hideMark/>
          </w:tcPr>
          <w:p w14:paraId="7142A6BF"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Recuperación RJP IMSS-BIENESTAR</w:t>
            </w:r>
          </w:p>
        </w:tc>
        <w:tc>
          <w:tcPr>
            <w:tcW w:w="2220" w:type="dxa"/>
            <w:tcBorders>
              <w:top w:val="nil"/>
              <w:left w:val="nil"/>
              <w:bottom w:val="nil"/>
              <w:right w:val="nil"/>
            </w:tcBorders>
            <w:shd w:val="clear" w:color="000000" w:fill="F2F2F2"/>
            <w:vAlign w:val="center"/>
            <w:hideMark/>
          </w:tcPr>
          <w:p w14:paraId="2503E2A7"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1,991,333,792.0</w:t>
            </w:r>
          </w:p>
        </w:tc>
        <w:tc>
          <w:tcPr>
            <w:tcW w:w="2220" w:type="dxa"/>
            <w:tcBorders>
              <w:top w:val="nil"/>
              <w:left w:val="nil"/>
              <w:bottom w:val="nil"/>
              <w:right w:val="nil"/>
            </w:tcBorders>
            <w:shd w:val="clear" w:color="000000" w:fill="F2F2F2"/>
            <w:vAlign w:val="center"/>
            <w:hideMark/>
          </w:tcPr>
          <w:p w14:paraId="211AF56A"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1,732,559,665.0</w:t>
            </w:r>
          </w:p>
        </w:tc>
      </w:tr>
      <w:tr w:rsidR="00243B14" w:rsidRPr="00243B14" w14:paraId="5E7F91B7" w14:textId="77777777" w:rsidTr="00243B14">
        <w:trPr>
          <w:trHeight w:val="254"/>
          <w:jc w:val="center"/>
        </w:trPr>
        <w:tc>
          <w:tcPr>
            <w:tcW w:w="6659" w:type="dxa"/>
            <w:tcBorders>
              <w:top w:val="nil"/>
              <w:left w:val="nil"/>
              <w:bottom w:val="nil"/>
              <w:right w:val="nil"/>
            </w:tcBorders>
            <w:shd w:val="clear" w:color="000000" w:fill="F2F2F2"/>
            <w:vAlign w:val="center"/>
            <w:hideMark/>
          </w:tcPr>
          <w:p w14:paraId="653F1661"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Bonificaciones y Descuentos Obtenidos</w:t>
            </w:r>
          </w:p>
        </w:tc>
        <w:tc>
          <w:tcPr>
            <w:tcW w:w="2220" w:type="dxa"/>
            <w:tcBorders>
              <w:top w:val="nil"/>
              <w:left w:val="nil"/>
              <w:bottom w:val="nil"/>
              <w:right w:val="nil"/>
            </w:tcBorders>
            <w:shd w:val="clear" w:color="000000" w:fill="F2F2F2"/>
            <w:vAlign w:val="center"/>
            <w:hideMark/>
          </w:tcPr>
          <w:p w14:paraId="404A625A"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458,109,720.3</w:t>
            </w:r>
          </w:p>
        </w:tc>
        <w:tc>
          <w:tcPr>
            <w:tcW w:w="2220" w:type="dxa"/>
            <w:tcBorders>
              <w:top w:val="nil"/>
              <w:left w:val="nil"/>
              <w:bottom w:val="nil"/>
              <w:right w:val="nil"/>
            </w:tcBorders>
            <w:shd w:val="clear" w:color="000000" w:fill="F2F2F2"/>
            <w:vAlign w:val="center"/>
            <w:hideMark/>
          </w:tcPr>
          <w:p w14:paraId="00ABEBBE"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206,340,085.8</w:t>
            </w:r>
          </w:p>
        </w:tc>
      </w:tr>
      <w:tr w:rsidR="00243B14" w:rsidRPr="00243B14" w14:paraId="55D0CF18" w14:textId="77777777" w:rsidTr="00243B14">
        <w:trPr>
          <w:trHeight w:val="254"/>
          <w:jc w:val="center"/>
        </w:trPr>
        <w:tc>
          <w:tcPr>
            <w:tcW w:w="6659" w:type="dxa"/>
            <w:tcBorders>
              <w:top w:val="nil"/>
              <w:left w:val="nil"/>
              <w:bottom w:val="nil"/>
              <w:right w:val="nil"/>
            </w:tcBorders>
            <w:shd w:val="clear" w:color="000000" w:fill="F2F2F2"/>
            <w:vAlign w:val="center"/>
            <w:hideMark/>
          </w:tcPr>
          <w:p w14:paraId="5F061470"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Diferencias por tipo de Cambio a Favor en Efectivo y Equivalentes</w:t>
            </w:r>
          </w:p>
        </w:tc>
        <w:tc>
          <w:tcPr>
            <w:tcW w:w="2220" w:type="dxa"/>
            <w:tcBorders>
              <w:top w:val="nil"/>
              <w:left w:val="nil"/>
              <w:bottom w:val="nil"/>
              <w:right w:val="nil"/>
            </w:tcBorders>
            <w:shd w:val="clear" w:color="000000" w:fill="F2F2F2"/>
            <w:vAlign w:val="center"/>
            <w:hideMark/>
          </w:tcPr>
          <w:p w14:paraId="074AF4C4"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2,284,642,559.8</w:t>
            </w:r>
          </w:p>
        </w:tc>
        <w:tc>
          <w:tcPr>
            <w:tcW w:w="2220" w:type="dxa"/>
            <w:tcBorders>
              <w:top w:val="nil"/>
              <w:left w:val="nil"/>
              <w:bottom w:val="nil"/>
              <w:right w:val="nil"/>
            </w:tcBorders>
            <w:shd w:val="clear" w:color="000000" w:fill="F2F2F2"/>
            <w:vAlign w:val="center"/>
            <w:hideMark/>
          </w:tcPr>
          <w:p w14:paraId="619CC224"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558,329,471.3</w:t>
            </w:r>
          </w:p>
        </w:tc>
      </w:tr>
      <w:tr w:rsidR="00243B14" w:rsidRPr="00243B14" w14:paraId="6EFAD8C6" w14:textId="77777777" w:rsidTr="00243B14">
        <w:trPr>
          <w:trHeight w:val="254"/>
          <w:jc w:val="center"/>
        </w:trPr>
        <w:tc>
          <w:tcPr>
            <w:tcW w:w="6659" w:type="dxa"/>
            <w:tcBorders>
              <w:top w:val="nil"/>
              <w:left w:val="nil"/>
              <w:bottom w:val="nil"/>
              <w:right w:val="nil"/>
            </w:tcBorders>
            <w:shd w:val="clear" w:color="000000" w:fill="F2F2F2"/>
            <w:vAlign w:val="center"/>
            <w:hideMark/>
          </w:tcPr>
          <w:p w14:paraId="46A5BAC3"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Prescripciones</w:t>
            </w:r>
          </w:p>
        </w:tc>
        <w:tc>
          <w:tcPr>
            <w:tcW w:w="2220" w:type="dxa"/>
            <w:tcBorders>
              <w:top w:val="nil"/>
              <w:left w:val="nil"/>
              <w:bottom w:val="nil"/>
              <w:right w:val="nil"/>
            </w:tcBorders>
            <w:shd w:val="clear" w:color="000000" w:fill="F2F2F2"/>
            <w:vAlign w:val="center"/>
            <w:hideMark/>
          </w:tcPr>
          <w:p w14:paraId="5EFAAC05"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508,427,731.6</w:t>
            </w:r>
          </w:p>
        </w:tc>
        <w:tc>
          <w:tcPr>
            <w:tcW w:w="2220" w:type="dxa"/>
            <w:tcBorders>
              <w:top w:val="nil"/>
              <w:left w:val="nil"/>
              <w:bottom w:val="nil"/>
              <w:right w:val="nil"/>
            </w:tcBorders>
            <w:shd w:val="clear" w:color="000000" w:fill="F2F2F2"/>
            <w:vAlign w:val="center"/>
            <w:hideMark/>
          </w:tcPr>
          <w:p w14:paraId="51A62C35"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56,580,625.8</w:t>
            </w:r>
          </w:p>
        </w:tc>
      </w:tr>
      <w:tr w:rsidR="00243B14" w:rsidRPr="00243B14" w14:paraId="48FEE028" w14:textId="77777777" w:rsidTr="00243B14">
        <w:trPr>
          <w:trHeight w:val="254"/>
          <w:jc w:val="center"/>
        </w:trPr>
        <w:tc>
          <w:tcPr>
            <w:tcW w:w="6659" w:type="dxa"/>
            <w:tcBorders>
              <w:top w:val="nil"/>
              <w:left w:val="nil"/>
              <w:bottom w:val="nil"/>
              <w:right w:val="nil"/>
            </w:tcBorders>
            <w:shd w:val="clear" w:color="000000" w:fill="F2F2F2"/>
            <w:vAlign w:val="center"/>
            <w:hideMark/>
          </w:tcPr>
          <w:p w14:paraId="285B16DF"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 xml:space="preserve">Uso de la Reserva de Operación para Contingencias y Financiamiento </w:t>
            </w:r>
          </w:p>
        </w:tc>
        <w:tc>
          <w:tcPr>
            <w:tcW w:w="2220" w:type="dxa"/>
            <w:tcBorders>
              <w:top w:val="nil"/>
              <w:left w:val="nil"/>
              <w:bottom w:val="nil"/>
              <w:right w:val="nil"/>
            </w:tcBorders>
            <w:shd w:val="clear" w:color="000000" w:fill="F2F2F2"/>
            <w:vAlign w:val="center"/>
            <w:hideMark/>
          </w:tcPr>
          <w:p w14:paraId="49893510"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1,046,507,901.3</w:t>
            </w:r>
          </w:p>
        </w:tc>
        <w:tc>
          <w:tcPr>
            <w:tcW w:w="2220" w:type="dxa"/>
            <w:tcBorders>
              <w:top w:val="nil"/>
              <w:left w:val="nil"/>
              <w:bottom w:val="nil"/>
              <w:right w:val="nil"/>
            </w:tcBorders>
            <w:shd w:val="clear" w:color="000000" w:fill="F2F2F2"/>
            <w:vAlign w:val="center"/>
            <w:hideMark/>
          </w:tcPr>
          <w:p w14:paraId="2FC58EAA"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0.0</w:t>
            </w:r>
          </w:p>
        </w:tc>
      </w:tr>
      <w:tr w:rsidR="00243B14" w:rsidRPr="00243B14" w14:paraId="5CE672FC" w14:textId="77777777" w:rsidTr="00243B14">
        <w:trPr>
          <w:trHeight w:val="254"/>
          <w:jc w:val="center"/>
        </w:trPr>
        <w:tc>
          <w:tcPr>
            <w:tcW w:w="6659" w:type="dxa"/>
            <w:tcBorders>
              <w:top w:val="nil"/>
              <w:left w:val="nil"/>
              <w:bottom w:val="nil"/>
              <w:right w:val="nil"/>
            </w:tcBorders>
            <w:shd w:val="clear" w:color="000000" w:fill="F2F2F2"/>
            <w:vAlign w:val="center"/>
            <w:hideMark/>
          </w:tcPr>
          <w:p w14:paraId="74EA348C"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Fondos y Fideicomisos</w:t>
            </w:r>
          </w:p>
        </w:tc>
        <w:tc>
          <w:tcPr>
            <w:tcW w:w="2220" w:type="dxa"/>
            <w:tcBorders>
              <w:top w:val="nil"/>
              <w:left w:val="nil"/>
              <w:bottom w:val="nil"/>
              <w:right w:val="nil"/>
            </w:tcBorders>
            <w:shd w:val="clear" w:color="000000" w:fill="F2F2F2"/>
            <w:vAlign w:val="center"/>
            <w:hideMark/>
          </w:tcPr>
          <w:p w14:paraId="57EECCC7"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158,927,149.7</w:t>
            </w:r>
          </w:p>
        </w:tc>
        <w:tc>
          <w:tcPr>
            <w:tcW w:w="2220" w:type="dxa"/>
            <w:tcBorders>
              <w:top w:val="nil"/>
              <w:left w:val="nil"/>
              <w:bottom w:val="nil"/>
              <w:right w:val="nil"/>
            </w:tcBorders>
            <w:shd w:val="clear" w:color="000000" w:fill="F2F2F2"/>
            <w:vAlign w:val="center"/>
            <w:hideMark/>
          </w:tcPr>
          <w:p w14:paraId="7F32DA1C"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90,923,103.6</w:t>
            </w:r>
          </w:p>
        </w:tc>
      </w:tr>
      <w:tr w:rsidR="00243B14" w:rsidRPr="00243B14" w14:paraId="79EB8E6E" w14:textId="77777777" w:rsidTr="00243B14">
        <w:trPr>
          <w:trHeight w:val="254"/>
          <w:jc w:val="center"/>
        </w:trPr>
        <w:tc>
          <w:tcPr>
            <w:tcW w:w="6659" w:type="dxa"/>
            <w:tcBorders>
              <w:top w:val="nil"/>
              <w:left w:val="nil"/>
              <w:bottom w:val="nil"/>
              <w:right w:val="nil"/>
            </w:tcBorders>
            <w:shd w:val="clear" w:color="000000" w:fill="F2F2F2"/>
            <w:vAlign w:val="center"/>
            <w:hideMark/>
          </w:tcPr>
          <w:p w14:paraId="0FD60F7B"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Bienes Adjudicados</w:t>
            </w:r>
          </w:p>
        </w:tc>
        <w:tc>
          <w:tcPr>
            <w:tcW w:w="2220" w:type="dxa"/>
            <w:tcBorders>
              <w:top w:val="nil"/>
              <w:left w:val="nil"/>
              <w:bottom w:val="nil"/>
              <w:right w:val="nil"/>
            </w:tcBorders>
            <w:shd w:val="clear" w:color="000000" w:fill="F2F2F2"/>
            <w:vAlign w:val="center"/>
            <w:hideMark/>
          </w:tcPr>
          <w:p w14:paraId="221CA4AC"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0.0</w:t>
            </w:r>
          </w:p>
        </w:tc>
        <w:tc>
          <w:tcPr>
            <w:tcW w:w="2220" w:type="dxa"/>
            <w:tcBorders>
              <w:top w:val="nil"/>
              <w:left w:val="nil"/>
              <w:bottom w:val="nil"/>
              <w:right w:val="nil"/>
            </w:tcBorders>
            <w:shd w:val="clear" w:color="000000" w:fill="F2F2F2"/>
            <w:vAlign w:val="center"/>
            <w:hideMark/>
          </w:tcPr>
          <w:p w14:paraId="3FE61CCC"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3,763,182.2</w:t>
            </w:r>
          </w:p>
        </w:tc>
      </w:tr>
      <w:tr w:rsidR="00243B14" w:rsidRPr="00243B14" w14:paraId="5829B31D" w14:textId="77777777" w:rsidTr="00243B14">
        <w:trPr>
          <w:trHeight w:val="254"/>
          <w:jc w:val="center"/>
        </w:trPr>
        <w:tc>
          <w:tcPr>
            <w:tcW w:w="6659" w:type="dxa"/>
            <w:tcBorders>
              <w:top w:val="nil"/>
              <w:left w:val="nil"/>
              <w:bottom w:val="nil"/>
              <w:right w:val="nil"/>
            </w:tcBorders>
            <w:shd w:val="clear" w:color="000000" w:fill="F2F2F2"/>
            <w:vAlign w:val="center"/>
            <w:hideMark/>
          </w:tcPr>
          <w:p w14:paraId="5CC4075F" w14:textId="77777777" w:rsidR="00243B14" w:rsidRPr="00243B14" w:rsidRDefault="00243B14" w:rsidP="00243B14">
            <w:pPr>
              <w:spacing w:after="0" w:line="240" w:lineRule="auto"/>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Revalorización, Crédito y Primas de Seguro</w:t>
            </w:r>
          </w:p>
        </w:tc>
        <w:tc>
          <w:tcPr>
            <w:tcW w:w="2220" w:type="dxa"/>
            <w:tcBorders>
              <w:top w:val="nil"/>
              <w:left w:val="nil"/>
              <w:bottom w:val="nil"/>
              <w:right w:val="nil"/>
            </w:tcBorders>
            <w:shd w:val="clear" w:color="000000" w:fill="F2F2F2"/>
            <w:vAlign w:val="center"/>
            <w:hideMark/>
          </w:tcPr>
          <w:p w14:paraId="675BB9A0" w14:textId="77777777" w:rsidR="00243B14" w:rsidRPr="00243B14" w:rsidRDefault="00243B14" w:rsidP="00243B14">
            <w:pPr>
              <w:spacing w:after="0" w:line="240" w:lineRule="auto"/>
              <w:jc w:val="right"/>
              <w:rPr>
                <w:rFonts w:ascii="Montserrat" w:eastAsia="Times New Roman" w:hAnsi="Montserrat"/>
                <w:color w:val="000000"/>
                <w:sz w:val="15"/>
                <w:szCs w:val="15"/>
                <w:lang w:val="es-MX" w:eastAsia="es-MX"/>
              </w:rPr>
            </w:pPr>
            <w:r w:rsidRPr="00243B14">
              <w:rPr>
                <w:rFonts w:ascii="Montserrat" w:eastAsia="Times New Roman" w:hAnsi="Montserrat"/>
                <w:color w:val="000000"/>
                <w:sz w:val="15"/>
                <w:szCs w:val="15"/>
                <w:lang w:val="es-MX" w:eastAsia="es-MX"/>
              </w:rPr>
              <w:t>39,242,325.7</w:t>
            </w:r>
          </w:p>
        </w:tc>
        <w:tc>
          <w:tcPr>
            <w:tcW w:w="2220" w:type="dxa"/>
            <w:tcBorders>
              <w:top w:val="nil"/>
              <w:left w:val="nil"/>
              <w:bottom w:val="nil"/>
              <w:right w:val="nil"/>
            </w:tcBorders>
            <w:shd w:val="clear" w:color="000000" w:fill="F2F2F2"/>
            <w:vAlign w:val="center"/>
            <w:hideMark/>
          </w:tcPr>
          <w:p w14:paraId="44ED2177" w14:textId="77777777" w:rsidR="00243B14" w:rsidRPr="00243B14" w:rsidRDefault="00E861B1" w:rsidP="00243B14">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243B14" w:rsidRPr="00243B14">
              <w:rPr>
                <w:rFonts w:ascii="Montserrat" w:eastAsia="Times New Roman" w:hAnsi="Montserrat"/>
                <w:color w:val="000000"/>
                <w:sz w:val="15"/>
                <w:szCs w:val="15"/>
                <w:lang w:val="es-MX" w:eastAsia="es-MX"/>
              </w:rPr>
              <w:t>64,256,637.7</w:t>
            </w:r>
          </w:p>
        </w:tc>
      </w:tr>
      <w:tr w:rsidR="00243B14" w:rsidRPr="00243B14" w14:paraId="08E41C15" w14:textId="77777777" w:rsidTr="00243B14">
        <w:trPr>
          <w:trHeight w:val="267"/>
          <w:jc w:val="center"/>
        </w:trPr>
        <w:tc>
          <w:tcPr>
            <w:tcW w:w="6659" w:type="dxa"/>
            <w:tcBorders>
              <w:top w:val="nil"/>
              <w:left w:val="nil"/>
              <w:bottom w:val="single" w:sz="12" w:space="0" w:color="808080"/>
              <w:right w:val="nil"/>
            </w:tcBorders>
            <w:shd w:val="clear" w:color="000000" w:fill="F2F2F2"/>
            <w:vAlign w:val="center"/>
            <w:hideMark/>
          </w:tcPr>
          <w:p w14:paraId="52C9340E" w14:textId="77777777" w:rsidR="00243B14" w:rsidRPr="00243B14" w:rsidRDefault="00243B14" w:rsidP="00243B14">
            <w:pPr>
              <w:spacing w:after="0" w:line="240" w:lineRule="auto"/>
              <w:rPr>
                <w:rFonts w:ascii="Montserrat" w:eastAsia="Times New Roman" w:hAnsi="Montserrat"/>
                <w:b/>
                <w:bCs/>
                <w:color w:val="000000"/>
                <w:sz w:val="15"/>
                <w:szCs w:val="15"/>
                <w:lang w:val="es-MX" w:eastAsia="es-MX"/>
              </w:rPr>
            </w:pPr>
            <w:r w:rsidRPr="00243B14">
              <w:rPr>
                <w:rFonts w:ascii="Montserrat" w:eastAsia="Times New Roman" w:hAnsi="Montserrat"/>
                <w:b/>
                <w:bCs/>
                <w:color w:val="000000"/>
                <w:sz w:val="15"/>
                <w:szCs w:val="15"/>
                <w:lang w:val="es-MX" w:eastAsia="es-MX"/>
              </w:rPr>
              <w:t>Total Otros Ingresos y Beneficios Varios</w:t>
            </w:r>
          </w:p>
        </w:tc>
        <w:tc>
          <w:tcPr>
            <w:tcW w:w="2220" w:type="dxa"/>
            <w:tcBorders>
              <w:top w:val="nil"/>
              <w:left w:val="nil"/>
              <w:bottom w:val="single" w:sz="12" w:space="0" w:color="808080"/>
              <w:right w:val="nil"/>
            </w:tcBorders>
            <w:shd w:val="clear" w:color="000000" w:fill="F2F2F2"/>
            <w:vAlign w:val="center"/>
            <w:hideMark/>
          </w:tcPr>
          <w:p w14:paraId="0BDED2BC" w14:textId="77777777" w:rsidR="00243B14" w:rsidRPr="00243B14" w:rsidRDefault="00243B14" w:rsidP="00243B14">
            <w:pPr>
              <w:spacing w:after="0" w:line="240" w:lineRule="auto"/>
              <w:jc w:val="right"/>
              <w:rPr>
                <w:rFonts w:ascii="Montserrat" w:eastAsia="Times New Roman" w:hAnsi="Montserrat"/>
                <w:b/>
                <w:bCs/>
                <w:color w:val="000000"/>
                <w:sz w:val="15"/>
                <w:szCs w:val="15"/>
                <w:lang w:val="es-MX" w:eastAsia="es-MX"/>
              </w:rPr>
            </w:pPr>
            <w:r w:rsidRPr="00243B14">
              <w:rPr>
                <w:rFonts w:ascii="Montserrat" w:eastAsia="Times New Roman" w:hAnsi="Montserrat"/>
                <w:b/>
                <w:bCs/>
                <w:color w:val="000000"/>
                <w:sz w:val="15"/>
                <w:szCs w:val="15"/>
                <w:lang w:val="es-MX" w:eastAsia="es-MX"/>
              </w:rPr>
              <w:t>10,197,382,840.5</w:t>
            </w:r>
          </w:p>
        </w:tc>
        <w:tc>
          <w:tcPr>
            <w:tcW w:w="2220" w:type="dxa"/>
            <w:tcBorders>
              <w:top w:val="nil"/>
              <w:left w:val="nil"/>
              <w:bottom w:val="single" w:sz="12" w:space="0" w:color="808080"/>
              <w:right w:val="nil"/>
            </w:tcBorders>
            <w:shd w:val="clear" w:color="000000" w:fill="F2F2F2"/>
            <w:vAlign w:val="center"/>
            <w:hideMark/>
          </w:tcPr>
          <w:p w14:paraId="7E471B02" w14:textId="77777777" w:rsidR="00243B14" w:rsidRPr="00243B14" w:rsidRDefault="00243B14" w:rsidP="00243B14">
            <w:pPr>
              <w:spacing w:after="0" w:line="240" w:lineRule="auto"/>
              <w:jc w:val="right"/>
              <w:rPr>
                <w:rFonts w:ascii="Montserrat" w:eastAsia="Times New Roman" w:hAnsi="Montserrat"/>
                <w:b/>
                <w:bCs/>
                <w:color w:val="000000"/>
                <w:sz w:val="15"/>
                <w:szCs w:val="15"/>
                <w:lang w:val="es-MX" w:eastAsia="es-MX"/>
              </w:rPr>
            </w:pPr>
            <w:r w:rsidRPr="00243B14">
              <w:rPr>
                <w:rFonts w:ascii="Montserrat" w:eastAsia="Times New Roman" w:hAnsi="Montserrat"/>
                <w:b/>
                <w:bCs/>
                <w:color w:val="000000"/>
                <w:sz w:val="15"/>
                <w:szCs w:val="15"/>
                <w:lang w:val="es-MX" w:eastAsia="es-MX"/>
              </w:rPr>
              <w:t>5,705,739,013.1</w:t>
            </w:r>
          </w:p>
        </w:tc>
      </w:tr>
    </w:tbl>
    <w:p w14:paraId="32160AF3" w14:textId="0C0A1F53" w:rsidR="00243B14" w:rsidRDefault="00243B14" w:rsidP="00243B14">
      <w:pPr>
        <w:autoSpaceDE w:val="0"/>
        <w:autoSpaceDN w:val="0"/>
        <w:spacing w:after="120" w:line="250" w:lineRule="exact"/>
        <w:jc w:val="both"/>
        <w:rPr>
          <w:rFonts w:ascii="Montserrat" w:hAnsi="Montserrat"/>
          <w:sz w:val="18"/>
          <w:szCs w:val="18"/>
        </w:rPr>
      </w:pPr>
    </w:p>
    <w:p w14:paraId="7B607D41" w14:textId="77777777" w:rsidR="009E2DCF" w:rsidRPr="00AE7030" w:rsidRDefault="009E2DCF" w:rsidP="00243B14">
      <w:pPr>
        <w:autoSpaceDE w:val="0"/>
        <w:autoSpaceDN w:val="0"/>
        <w:spacing w:after="120" w:line="250" w:lineRule="exact"/>
        <w:jc w:val="both"/>
        <w:rPr>
          <w:rFonts w:ascii="Montserrat" w:hAnsi="Montserrat"/>
          <w:sz w:val="18"/>
          <w:szCs w:val="18"/>
        </w:rPr>
      </w:pPr>
    </w:p>
    <w:p w14:paraId="12AEE465" w14:textId="77777777" w:rsidR="009D5C48" w:rsidRDefault="009D5C48" w:rsidP="001A3447">
      <w:pPr>
        <w:pStyle w:val="SUBTITULO2"/>
        <w:numPr>
          <w:ilvl w:val="0"/>
          <w:numId w:val="7"/>
        </w:numPr>
        <w:ind w:left="0" w:firstLine="0"/>
      </w:pPr>
      <w:r w:rsidRPr="00192914">
        <w:lastRenderedPageBreak/>
        <w:t>Gastos y Otras Pérdidas</w:t>
      </w:r>
    </w:p>
    <w:p w14:paraId="5A7CC18B" w14:textId="77777777" w:rsidR="009D5C48" w:rsidRPr="00115BF1" w:rsidRDefault="009D5C48" w:rsidP="009D5C48">
      <w:pPr>
        <w:pStyle w:val="TEXTONORMAL"/>
        <w:rPr>
          <w:lang w:val="es-MX"/>
        </w:rPr>
      </w:pPr>
    </w:p>
    <w:p w14:paraId="7F19DCF1" w14:textId="77777777" w:rsidR="009D5C48" w:rsidRPr="002778C0" w:rsidRDefault="00F87200" w:rsidP="003F2A12">
      <w:pPr>
        <w:pStyle w:val="VIETAFLECHA"/>
        <w:numPr>
          <w:ilvl w:val="1"/>
          <w:numId w:val="39"/>
        </w:numPr>
        <w:ind w:left="357" w:hanging="357"/>
      </w:pPr>
      <w:r w:rsidRPr="008142BE">
        <w:rPr>
          <w:b/>
        </w:rPr>
        <w:t>4.1</w:t>
      </w:r>
      <w:r>
        <w:t xml:space="preserve"> </w:t>
      </w:r>
      <w:r w:rsidR="009D5C48" w:rsidRPr="002778C0">
        <w:t>Servicios Personales</w:t>
      </w:r>
    </w:p>
    <w:p w14:paraId="1E3DF586" w14:textId="77777777" w:rsidR="009D5C48" w:rsidRDefault="009D5C48" w:rsidP="00C16E7C">
      <w:pPr>
        <w:pStyle w:val="TEXTONORMAL"/>
      </w:pPr>
      <w:r w:rsidRPr="001465AC">
        <w:t xml:space="preserve">Al </w:t>
      </w:r>
      <w:r w:rsidR="004B7BF2">
        <w:t>30 de septiembre</w:t>
      </w:r>
      <w:r w:rsidR="005E77B6" w:rsidRPr="00C92890">
        <w:t xml:space="preserve"> de 2022 y 2021</w:t>
      </w:r>
      <w:r w:rsidRPr="001465AC">
        <w:t xml:space="preserve">, </w:t>
      </w:r>
      <w:r>
        <w:t>el rubro de Servicios Personales está integrado</w:t>
      </w:r>
      <w:r w:rsidRPr="001465AC">
        <w:t xml:space="preserve"> como se muestra a continuación:</w:t>
      </w:r>
    </w:p>
    <w:p w14:paraId="4A00E5C7" w14:textId="77777777" w:rsidR="002301BC" w:rsidRDefault="002301BC" w:rsidP="00C16E7C">
      <w:pPr>
        <w:pStyle w:val="TEXTONORMAL"/>
      </w:pPr>
    </w:p>
    <w:tbl>
      <w:tblPr>
        <w:tblW w:w="11007" w:type="dxa"/>
        <w:jc w:val="center"/>
        <w:tblCellMar>
          <w:left w:w="70" w:type="dxa"/>
          <w:right w:w="70" w:type="dxa"/>
        </w:tblCellMar>
        <w:tblLook w:val="04A0" w:firstRow="1" w:lastRow="0" w:firstColumn="1" w:lastColumn="0" w:noHBand="0" w:noVBand="1"/>
      </w:tblPr>
      <w:tblGrid>
        <w:gridCol w:w="6764"/>
        <w:gridCol w:w="2146"/>
        <w:gridCol w:w="2097"/>
      </w:tblGrid>
      <w:tr w:rsidR="00392415" w:rsidRPr="00392415" w14:paraId="7D3016D6" w14:textId="77777777" w:rsidTr="00392415">
        <w:trPr>
          <w:trHeight w:val="271"/>
          <w:jc w:val="center"/>
        </w:trPr>
        <w:tc>
          <w:tcPr>
            <w:tcW w:w="676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F7BE3CE" w14:textId="77777777" w:rsidR="00392415" w:rsidRPr="00392415" w:rsidRDefault="00392415" w:rsidP="00392415">
            <w:pPr>
              <w:spacing w:after="0" w:line="240" w:lineRule="auto"/>
              <w:jc w:val="center"/>
              <w:rPr>
                <w:rFonts w:ascii="Montserrat" w:eastAsia="Times New Roman" w:hAnsi="Montserrat"/>
                <w:b/>
                <w:bCs/>
                <w:color w:val="FFFFFF"/>
                <w:sz w:val="16"/>
                <w:szCs w:val="16"/>
                <w:lang w:val="es-MX" w:eastAsia="es-MX"/>
              </w:rPr>
            </w:pPr>
            <w:r w:rsidRPr="00392415">
              <w:rPr>
                <w:rFonts w:ascii="Montserrat" w:eastAsia="Times New Roman" w:hAnsi="Montserrat"/>
                <w:b/>
                <w:bCs/>
                <w:color w:val="FFFFFF"/>
                <w:sz w:val="16"/>
                <w:szCs w:val="16"/>
                <w:lang w:val="es-MX" w:eastAsia="es-MX"/>
              </w:rPr>
              <w:t>Concepto</w:t>
            </w:r>
          </w:p>
        </w:tc>
        <w:tc>
          <w:tcPr>
            <w:tcW w:w="424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EDF0783" w14:textId="77777777" w:rsidR="00392415" w:rsidRPr="00392415" w:rsidRDefault="00392415" w:rsidP="00392415">
            <w:pPr>
              <w:spacing w:after="0" w:line="240" w:lineRule="auto"/>
              <w:jc w:val="center"/>
              <w:rPr>
                <w:rFonts w:ascii="Montserrat" w:eastAsia="Times New Roman" w:hAnsi="Montserrat"/>
                <w:b/>
                <w:bCs/>
                <w:color w:val="FFFFFF"/>
                <w:sz w:val="16"/>
                <w:szCs w:val="16"/>
                <w:lang w:val="es-MX" w:eastAsia="es-MX"/>
              </w:rPr>
            </w:pPr>
            <w:r w:rsidRPr="00392415">
              <w:rPr>
                <w:rFonts w:ascii="Montserrat" w:eastAsia="Times New Roman" w:hAnsi="Montserrat"/>
                <w:b/>
                <w:bCs/>
                <w:color w:val="FFFFFF"/>
                <w:sz w:val="16"/>
                <w:szCs w:val="16"/>
                <w:lang w:val="es-MX" w:eastAsia="es-MX"/>
              </w:rPr>
              <w:t>Cifras en pesos</w:t>
            </w:r>
          </w:p>
        </w:tc>
      </w:tr>
      <w:tr w:rsidR="00392415" w:rsidRPr="00392415" w14:paraId="1C57189C" w14:textId="77777777" w:rsidTr="00392415">
        <w:trPr>
          <w:trHeight w:val="271"/>
          <w:jc w:val="center"/>
        </w:trPr>
        <w:tc>
          <w:tcPr>
            <w:tcW w:w="6764" w:type="dxa"/>
            <w:vMerge/>
            <w:tcBorders>
              <w:top w:val="single" w:sz="12" w:space="0" w:color="808080"/>
              <w:left w:val="single" w:sz="12" w:space="0" w:color="FFFFFF"/>
              <w:bottom w:val="double" w:sz="6" w:space="0" w:color="808080"/>
              <w:right w:val="single" w:sz="12" w:space="0" w:color="FFFFFF"/>
            </w:tcBorders>
            <w:vAlign w:val="center"/>
            <w:hideMark/>
          </w:tcPr>
          <w:p w14:paraId="38E8FF76" w14:textId="77777777" w:rsidR="00392415" w:rsidRPr="00392415" w:rsidRDefault="00392415" w:rsidP="00392415">
            <w:pPr>
              <w:spacing w:after="0" w:line="240" w:lineRule="auto"/>
              <w:rPr>
                <w:rFonts w:ascii="Montserrat" w:eastAsia="Times New Roman" w:hAnsi="Montserrat"/>
                <w:b/>
                <w:bCs/>
                <w:color w:val="FFFFFF"/>
                <w:sz w:val="16"/>
                <w:szCs w:val="16"/>
                <w:lang w:val="es-MX" w:eastAsia="es-MX"/>
              </w:rPr>
            </w:pPr>
          </w:p>
        </w:tc>
        <w:tc>
          <w:tcPr>
            <w:tcW w:w="2146" w:type="dxa"/>
            <w:tcBorders>
              <w:top w:val="nil"/>
              <w:left w:val="nil"/>
              <w:bottom w:val="double" w:sz="6" w:space="0" w:color="808080"/>
              <w:right w:val="single" w:sz="12" w:space="0" w:color="FFFFFF"/>
            </w:tcBorders>
            <w:shd w:val="clear" w:color="000000" w:fill="D4C19C"/>
            <w:vAlign w:val="center"/>
            <w:hideMark/>
          </w:tcPr>
          <w:p w14:paraId="5D9D251C" w14:textId="77777777" w:rsidR="00392415" w:rsidRPr="00392415" w:rsidRDefault="00392415" w:rsidP="00392415">
            <w:pPr>
              <w:spacing w:after="0" w:line="240" w:lineRule="auto"/>
              <w:jc w:val="center"/>
              <w:rPr>
                <w:rFonts w:ascii="Montserrat" w:eastAsia="Times New Roman" w:hAnsi="Montserrat"/>
                <w:b/>
                <w:bCs/>
                <w:color w:val="FFFFFF"/>
                <w:sz w:val="16"/>
                <w:szCs w:val="16"/>
                <w:lang w:val="es-MX" w:eastAsia="es-MX"/>
              </w:rPr>
            </w:pPr>
            <w:r w:rsidRPr="00392415">
              <w:rPr>
                <w:rFonts w:ascii="Montserrat" w:eastAsia="Times New Roman" w:hAnsi="Montserrat"/>
                <w:b/>
                <w:bCs/>
                <w:color w:val="FFFFFF"/>
                <w:sz w:val="16"/>
                <w:szCs w:val="16"/>
                <w:lang w:val="es-MX" w:eastAsia="es-MX"/>
              </w:rPr>
              <w:t>2022</w:t>
            </w:r>
          </w:p>
        </w:tc>
        <w:tc>
          <w:tcPr>
            <w:tcW w:w="2097" w:type="dxa"/>
            <w:tcBorders>
              <w:top w:val="nil"/>
              <w:left w:val="nil"/>
              <w:bottom w:val="double" w:sz="6" w:space="0" w:color="808080"/>
              <w:right w:val="single" w:sz="12" w:space="0" w:color="FFFFFF"/>
            </w:tcBorders>
            <w:shd w:val="clear" w:color="000000" w:fill="D4C19C"/>
            <w:vAlign w:val="center"/>
            <w:hideMark/>
          </w:tcPr>
          <w:p w14:paraId="70A59BCE" w14:textId="77777777" w:rsidR="00392415" w:rsidRPr="00392415" w:rsidRDefault="00392415" w:rsidP="00392415">
            <w:pPr>
              <w:spacing w:after="0" w:line="240" w:lineRule="auto"/>
              <w:jc w:val="center"/>
              <w:rPr>
                <w:rFonts w:ascii="Montserrat" w:eastAsia="Times New Roman" w:hAnsi="Montserrat"/>
                <w:b/>
                <w:bCs/>
                <w:color w:val="FFFFFF"/>
                <w:sz w:val="16"/>
                <w:szCs w:val="16"/>
                <w:lang w:val="es-MX" w:eastAsia="es-MX"/>
              </w:rPr>
            </w:pPr>
            <w:r w:rsidRPr="00392415">
              <w:rPr>
                <w:rFonts w:ascii="Montserrat" w:eastAsia="Times New Roman" w:hAnsi="Montserrat"/>
                <w:b/>
                <w:bCs/>
                <w:color w:val="FFFFFF"/>
                <w:sz w:val="16"/>
                <w:szCs w:val="16"/>
                <w:lang w:val="es-MX" w:eastAsia="es-MX"/>
              </w:rPr>
              <w:t>2021</w:t>
            </w:r>
          </w:p>
        </w:tc>
      </w:tr>
      <w:tr w:rsidR="00392415" w:rsidRPr="00392415" w14:paraId="28E29F89" w14:textId="77777777" w:rsidTr="00392415">
        <w:trPr>
          <w:trHeight w:val="259"/>
          <w:jc w:val="center"/>
        </w:trPr>
        <w:tc>
          <w:tcPr>
            <w:tcW w:w="6764" w:type="dxa"/>
            <w:tcBorders>
              <w:top w:val="nil"/>
              <w:left w:val="nil"/>
              <w:bottom w:val="nil"/>
              <w:right w:val="nil"/>
            </w:tcBorders>
            <w:shd w:val="clear" w:color="000000" w:fill="F2F2F2"/>
            <w:vAlign w:val="center"/>
            <w:hideMark/>
          </w:tcPr>
          <w:p w14:paraId="5457EC5E"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Otras Prestaciones Sociales y Económicas</w:t>
            </w:r>
          </w:p>
        </w:tc>
        <w:tc>
          <w:tcPr>
            <w:tcW w:w="2146" w:type="dxa"/>
            <w:tcBorders>
              <w:top w:val="nil"/>
              <w:left w:val="nil"/>
              <w:bottom w:val="nil"/>
              <w:right w:val="nil"/>
            </w:tcBorders>
            <w:shd w:val="clear" w:color="000000" w:fill="F2F2F2"/>
            <w:vAlign w:val="center"/>
            <w:hideMark/>
          </w:tcPr>
          <w:p w14:paraId="4C13A7DE"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89,886,322,638.7</w:t>
            </w:r>
          </w:p>
        </w:tc>
        <w:tc>
          <w:tcPr>
            <w:tcW w:w="2097" w:type="dxa"/>
            <w:tcBorders>
              <w:top w:val="nil"/>
              <w:left w:val="nil"/>
              <w:bottom w:val="nil"/>
              <w:right w:val="nil"/>
            </w:tcBorders>
            <w:shd w:val="clear" w:color="000000" w:fill="F2F2F2"/>
            <w:vAlign w:val="center"/>
            <w:hideMark/>
          </w:tcPr>
          <w:p w14:paraId="291BC1B2"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91,062,674,687.6</w:t>
            </w:r>
          </w:p>
        </w:tc>
      </w:tr>
      <w:tr w:rsidR="00392415" w:rsidRPr="00392415" w14:paraId="1A781B89" w14:textId="77777777" w:rsidTr="00392415">
        <w:trPr>
          <w:trHeight w:val="246"/>
          <w:jc w:val="center"/>
        </w:trPr>
        <w:tc>
          <w:tcPr>
            <w:tcW w:w="6764" w:type="dxa"/>
            <w:tcBorders>
              <w:top w:val="nil"/>
              <w:left w:val="nil"/>
              <w:bottom w:val="nil"/>
              <w:right w:val="nil"/>
            </w:tcBorders>
            <w:shd w:val="clear" w:color="000000" w:fill="F2F2F2"/>
            <w:vAlign w:val="center"/>
            <w:hideMark/>
          </w:tcPr>
          <w:p w14:paraId="190F0464"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Remuneraciones Adicionales y Especiales</w:t>
            </w:r>
          </w:p>
        </w:tc>
        <w:tc>
          <w:tcPr>
            <w:tcW w:w="2146" w:type="dxa"/>
            <w:tcBorders>
              <w:top w:val="nil"/>
              <w:left w:val="nil"/>
              <w:bottom w:val="nil"/>
              <w:right w:val="nil"/>
            </w:tcBorders>
            <w:shd w:val="clear" w:color="000000" w:fill="F2F2F2"/>
            <w:vAlign w:val="center"/>
            <w:hideMark/>
          </w:tcPr>
          <w:p w14:paraId="70283DF4"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24,845,691,128.8</w:t>
            </w:r>
          </w:p>
        </w:tc>
        <w:tc>
          <w:tcPr>
            <w:tcW w:w="2097" w:type="dxa"/>
            <w:tcBorders>
              <w:top w:val="nil"/>
              <w:left w:val="nil"/>
              <w:bottom w:val="nil"/>
              <w:right w:val="nil"/>
            </w:tcBorders>
            <w:shd w:val="clear" w:color="000000" w:fill="F2F2F2"/>
            <w:vAlign w:val="center"/>
            <w:hideMark/>
          </w:tcPr>
          <w:p w14:paraId="52DD9A5F"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24,433,892,427.8</w:t>
            </w:r>
          </w:p>
        </w:tc>
      </w:tr>
      <w:tr w:rsidR="00392415" w:rsidRPr="00392415" w14:paraId="50C6B4A3" w14:textId="77777777" w:rsidTr="00392415">
        <w:trPr>
          <w:trHeight w:val="246"/>
          <w:jc w:val="center"/>
        </w:trPr>
        <w:tc>
          <w:tcPr>
            <w:tcW w:w="6764" w:type="dxa"/>
            <w:tcBorders>
              <w:top w:val="nil"/>
              <w:left w:val="nil"/>
              <w:bottom w:val="nil"/>
              <w:right w:val="nil"/>
            </w:tcBorders>
            <w:shd w:val="clear" w:color="000000" w:fill="F2F2F2"/>
            <w:vAlign w:val="center"/>
            <w:hideMark/>
          </w:tcPr>
          <w:p w14:paraId="0CC51543"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Remuneraciones al Personal de Carácter Permanente</w:t>
            </w:r>
          </w:p>
        </w:tc>
        <w:tc>
          <w:tcPr>
            <w:tcW w:w="2146" w:type="dxa"/>
            <w:tcBorders>
              <w:top w:val="nil"/>
              <w:left w:val="nil"/>
              <w:bottom w:val="nil"/>
              <w:right w:val="nil"/>
            </w:tcBorders>
            <w:shd w:val="clear" w:color="000000" w:fill="F2F2F2"/>
            <w:vAlign w:val="center"/>
            <w:hideMark/>
          </w:tcPr>
          <w:p w14:paraId="7FCD718B"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27,225,548,253.8</w:t>
            </w:r>
          </w:p>
        </w:tc>
        <w:tc>
          <w:tcPr>
            <w:tcW w:w="2097" w:type="dxa"/>
            <w:tcBorders>
              <w:top w:val="nil"/>
              <w:left w:val="nil"/>
              <w:bottom w:val="nil"/>
              <w:right w:val="nil"/>
            </w:tcBorders>
            <w:shd w:val="clear" w:color="000000" w:fill="F2F2F2"/>
            <w:vAlign w:val="center"/>
            <w:hideMark/>
          </w:tcPr>
          <w:p w14:paraId="0789E945"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25,883,951,084.1</w:t>
            </w:r>
          </w:p>
        </w:tc>
      </w:tr>
      <w:tr w:rsidR="00392415" w:rsidRPr="00392415" w14:paraId="04C6A138" w14:textId="77777777" w:rsidTr="00392415">
        <w:trPr>
          <w:trHeight w:val="246"/>
          <w:jc w:val="center"/>
        </w:trPr>
        <w:tc>
          <w:tcPr>
            <w:tcW w:w="6764" w:type="dxa"/>
            <w:tcBorders>
              <w:top w:val="nil"/>
              <w:left w:val="nil"/>
              <w:bottom w:val="nil"/>
              <w:right w:val="nil"/>
            </w:tcBorders>
            <w:shd w:val="clear" w:color="000000" w:fill="F2F2F2"/>
            <w:vAlign w:val="center"/>
            <w:hideMark/>
          </w:tcPr>
          <w:p w14:paraId="720CB05F"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Seguridad Social</w:t>
            </w:r>
          </w:p>
        </w:tc>
        <w:tc>
          <w:tcPr>
            <w:tcW w:w="2146" w:type="dxa"/>
            <w:tcBorders>
              <w:top w:val="nil"/>
              <w:left w:val="nil"/>
              <w:bottom w:val="nil"/>
              <w:right w:val="nil"/>
            </w:tcBorders>
            <w:shd w:val="clear" w:color="000000" w:fill="F2F2F2"/>
            <w:vAlign w:val="center"/>
            <w:hideMark/>
          </w:tcPr>
          <w:p w14:paraId="6BD72093"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24,645,112,157.8</w:t>
            </w:r>
          </w:p>
        </w:tc>
        <w:tc>
          <w:tcPr>
            <w:tcW w:w="2097" w:type="dxa"/>
            <w:tcBorders>
              <w:top w:val="nil"/>
              <w:left w:val="nil"/>
              <w:bottom w:val="nil"/>
              <w:right w:val="nil"/>
            </w:tcBorders>
            <w:shd w:val="clear" w:color="000000" w:fill="F2F2F2"/>
            <w:vAlign w:val="center"/>
            <w:hideMark/>
          </w:tcPr>
          <w:p w14:paraId="37098F2E"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23,596,531,534.3</w:t>
            </w:r>
          </w:p>
        </w:tc>
      </w:tr>
      <w:tr w:rsidR="00392415" w:rsidRPr="00392415" w14:paraId="03239760" w14:textId="77777777" w:rsidTr="00392415">
        <w:trPr>
          <w:trHeight w:val="246"/>
          <w:jc w:val="center"/>
        </w:trPr>
        <w:tc>
          <w:tcPr>
            <w:tcW w:w="6764" w:type="dxa"/>
            <w:tcBorders>
              <w:top w:val="nil"/>
              <w:left w:val="nil"/>
              <w:bottom w:val="nil"/>
              <w:right w:val="nil"/>
            </w:tcBorders>
            <w:shd w:val="clear" w:color="000000" w:fill="F2F2F2"/>
            <w:vAlign w:val="center"/>
            <w:hideMark/>
          </w:tcPr>
          <w:p w14:paraId="53239C16"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Pago de Estímulos a Servidores Públicos</w:t>
            </w:r>
          </w:p>
        </w:tc>
        <w:tc>
          <w:tcPr>
            <w:tcW w:w="2146" w:type="dxa"/>
            <w:tcBorders>
              <w:top w:val="nil"/>
              <w:left w:val="nil"/>
              <w:bottom w:val="nil"/>
              <w:right w:val="nil"/>
            </w:tcBorders>
            <w:shd w:val="clear" w:color="000000" w:fill="F2F2F2"/>
            <w:vAlign w:val="center"/>
            <w:hideMark/>
          </w:tcPr>
          <w:p w14:paraId="1827E16B"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17,276,676,588.1</w:t>
            </w:r>
          </w:p>
        </w:tc>
        <w:tc>
          <w:tcPr>
            <w:tcW w:w="2097" w:type="dxa"/>
            <w:tcBorders>
              <w:top w:val="nil"/>
              <w:left w:val="nil"/>
              <w:bottom w:val="nil"/>
              <w:right w:val="nil"/>
            </w:tcBorders>
            <w:shd w:val="clear" w:color="000000" w:fill="F2F2F2"/>
            <w:vAlign w:val="center"/>
            <w:hideMark/>
          </w:tcPr>
          <w:p w14:paraId="4CFF8F27"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17,095,892,111.7</w:t>
            </w:r>
          </w:p>
        </w:tc>
      </w:tr>
      <w:tr w:rsidR="00392415" w:rsidRPr="00392415" w14:paraId="262AD276" w14:textId="77777777" w:rsidTr="00392415">
        <w:trPr>
          <w:trHeight w:val="246"/>
          <w:jc w:val="center"/>
        </w:trPr>
        <w:tc>
          <w:tcPr>
            <w:tcW w:w="6764" w:type="dxa"/>
            <w:tcBorders>
              <w:top w:val="nil"/>
              <w:left w:val="nil"/>
              <w:bottom w:val="nil"/>
              <w:right w:val="nil"/>
            </w:tcBorders>
            <w:shd w:val="clear" w:color="000000" w:fill="F2F2F2"/>
            <w:vAlign w:val="center"/>
            <w:hideMark/>
          </w:tcPr>
          <w:p w14:paraId="0772E6F1" w14:textId="77777777" w:rsidR="00392415" w:rsidRPr="00392415" w:rsidRDefault="00392415" w:rsidP="00392415">
            <w:pPr>
              <w:spacing w:after="0" w:line="240" w:lineRule="auto"/>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Remuneraciones al Personal de Carácter Transitorio</w:t>
            </w:r>
          </w:p>
        </w:tc>
        <w:tc>
          <w:tcPr>
            <w:tcW w:w="2146" w:type="dxa"/>
            <w:tcBorders>
              <w:top w:val="nil"/>
              <w:left w:val="nil"/>
              <w:bottom w:val="nil"/>
              <w:right w:val="nil"/>
            </w:tcBorders>
            <w:shd w:val="clear" w:color="000000" w:fill="F2F2F2"/>
            <w:vAlign w:val="center"/>
            <w:hideMark/>
          </w:tcPr>
          <w:p w14:paraId="5E124D58"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1,393,052,201.9</w:t>
            </w:r>
          </w:p>
        </w:tc>
        <w:tc>
          <w:tcPr>
            <w:tcW w:w="2097" w:type="dxa"/>
            <w:tcBorders>
              <w:top w:val="nil"/>
              <w:left w:val="nil"/>
              <w:bottom w:val="nil"/>
              <w:right w:val="nil"/>
            </w:tcBorders>
            <w:shd w:val="clear" w:color="000000" w:fill="F2F2F2"/>
            <w:vAlign w:val="center"/>
            <w:hideMark/>
          </w:tcPr>
          <w:p w14:paraId="7F2E16BA" w14:textId="77777777" w:rsidR="00392415" w:rsidRPr="00392415" w:rsidRDefault="00392415" w:rsidP="00392415">
            <w:pPr>
              <w:spacing w:after="0" w:line="240" w:lineRule="auto"/>
              <w:jc w:val="right"/>
              <w:rPr>
                <w:rFonts w:ascii="Montserrat" w:eastAsia="Times New Roman" w:hAnsi="Montserrat"/>
                <w:color w:val="000000"/>
                <w:sz w:val="15"/>
                <w:szCs w:val="15"/>
                <w:lang w:val="es-MX" w:eastAsia="es-MX"/>
              </w:rPr>
            </w:pPr>
            <w:r w:rsidRPr="00392415">
              <w:rPr>
                <w:rFonts w:ascii="Montserrat" w:eastAsia="Times New Roman" w:hAnsi="Montserrat"/>
                <w:color w:val="000000"/>
                <w:sz w:val="15"/>
                <w:szCs w:val="15"/>
                <w:lang w:val="es-MX" w:eastAsia="es-MX"/>
              </w:rPr>
              <w:t>1,164,632,825.3</w:t>
            </w:r>
          </w:p>
        </w:tc>
      </w:tr>
      <w:tr w:rsidR="00392415" w:rsidRPr="00392415" w14:paraId="4B6EFEA1" w14:textId="77777777" w:rsidTr="00392415">
        <w:trPr>
          <w:trHeight w:val="259"/>
          <w:jc w:val="center"/>
        </w:trPr>
        <w:tc>
          <w:tcPr>
            <w:tcW w:w="6764" w:type="dxa"/>
            <w:tcBorders>
              <w:top w:val="nil"/>
              <w:left w:val="nil"/>
              <w:bottom w:val="single" w:sz="12" w:space="0" w:color="808080"/>
              <w:right w:val="nil"/>
            </w:tcBorders>
            <w:shd w:val="clear" w:color="000000" w:fill="F2F2F2"/>
            <w:vAlign w:val="center"/>
            <w:hideMark/>
          </w:tcPr>
          <w:p w14:paraId="53D8BA21" w14:textId="77777777" w:rsidR="00392415" w:rsidRPr="00392415" w:rsidRDefault="00392415" w:rsidP="00392415">
            <w:pPr>
              <w:spacing w:after="0" w:line="240" w:lineRule="auto"/>
              <w:rPr>
                <w:rFonts w:ascii="Montserrat" w:eastAsia="Times New Roman" w:hAnsi="Montserrat"/>
                <w:b/>
                <w:bCs/>
                <w:color w:val="000000"/>
                <w:sz w:val="15"/>
                <w:szCs w:val="15"/>
                <w:lang w:val="es-MX" w:eastAsia="es-MX"/>
              </w:rPr>
            </w:pPr>
            <w:r w:rsidRPr="00392415">
              <w:rPr>
                <w:rFonts w:ascii="Montserrat" w:eastAsia="Times New Roman" w:hAnsi="Montserrat"/>
                <w:b/>
                <w:bCs/>
                <w:color w:val="000000"/>
                <w:sz w:val="15"/>
                <w:szCs w:val="15"/>
                <w:lang w:val="es-MX" w:eastAsia="es-MX"/>
              </w:rPr>
              <w:t>Total Servicios Personales</w:t>
            </w:r>
          </w:p>
        </w:tc>
        <w:tc>
          <w:tcPr>
            <w:tcW w:w="2146" w:type="dxa"/>
            <w:tcBorders>
              <w:top w:val="nil"/>
              <w:left w:val="nil"/>
              <w:bottom w:val="single" w:sz="12" w:space="0" w:color="808080"/>
              <w:right w:val="nil"/>
            </w:tcBorders>
            <w:shd w:val="clear" w:color="000000" w:fill="F2F2F2"/>
            <w:vAlign w:val="center"/>
            <w:hideMark/>
          </w:tcPr>
          <w:p w14:paraId="3C6965D8" w14:textId="77777777" w:rsidR="00392415" w:rsidRPr="00392415" w:rsidRDefault="00392415" w:rsidP="00392415">
            <w:pPr>
              <w:spacing w:after="0" w:line="240" w:lineRule="auto"/>
              <w:jc w:val="right"/>
              <w:rPr>
                <w:rFonts w:ascii="Montserrat" w:eastAsia="Times New Roman" w:hAnsi="Montserrat"/>
                <w:b/>
                <w:bCs/>
                <w:color w:val="000000"/>
                <w:sz w:val="15"/>
                <w:szCs w:val="15"/>
                <w:lang w:val="es-MX" w:eastAsia="es-MX"/>
              </w:rPr>
            </w:pPr>
            <w:r w:rsidRPr="00392415">
              <w:rPr>
                <w:rFonts w:ascii="Montserrat" w:eastAsia="Times New Roman" w:hAnsi="Montserrat"/>
                <w:b/>
                <w:bCs/>
                <w:color w:val="000000"/>
                <w:sz w:val="15"/>
                <w:szCs w:val="15"/>
                <w:lang w:val="es-MX" w:eastAsia="es-MX"/>
              </w:rPr>
              <w:t>185,272,402,969.</w:t>
            </w:r>
            <w:r w:rsidR="00785D57">
              <w:rPr>
                <w:rFonts w:ascii="Montserrat" w:eastAsia="Times New Roman" w:hAnsi="Montserrat"/>
                <w:b/>
                <w:bCs/>
                <w:color w:val="000000"/>
                <w:sz w:val="15"/>
                <w:szCs w:val="15"/>
                <w:lang w:val="es-MX" w:eastAsia="es-MX"/>
              </w:rPr>
              <w:t>1</w:t>
            </w:r>
          </w:p>
        </w:tc>
        <w:tc>
          <w:tcPr>
            <w:tcW w:w="2097" w:type="dxa"/>
            <w:tcBorders>
              <w:top w:val="nil"/>
              <w:left w:val="nil"/>
              <w:bottom w:val="single" w:sz="12" w:space="0" w:color="808080"/>
              <w:right w:val="nil"/>
            </w:tcBorders>
            <w:shd w:val="clear" w:color="000000" w:fill="F2F2F2"/>
            <w:vAlign w:val="center"/>
            <w:hideMark/>
          </w:tcPr>
          <w:p w14:paraId="3274F1DA" w14:textId="77777777" w:rsidR="00392415" w:rsidRPr="00392415" w:rsidRDefault="00392415" w:rsidP="00392415">
            <w:pPr>
              <w:spacing w:after="0" w:line="240" w:lineRule="auto"/>
              <w:jc w:val="right"/>
              <w:rPr>
                <w:rFonts w:ascii="Montserrat" w:eastAsia="Times New Roman" w:hAnsi="Montserrat"/>
                <w:b/>
                <w:bCs/>
                <w:color w:val="000000"/>
                <w:sz w:val="15"/>
                <w:szCs w:val="15"/>
                <w:lang w:val="es-MX" w:eastAsia="es-MX"/>
              </w:rPr>
            </w:pPr>
            <w:r w:rsidRPr="00392415">
              <w:rPr>
                <w:rFonts w:ascii="Montserrat" w:eastAsia="Times New Roman" w:hAnsi="Montserrat"/>
                <w:b/>
                <w:bCs/>
                <w:color w:val="000000"/>
                <w:sz w:val="15"/>
                <w:szCs w:val="15"/>
                <w:lang w:val="es-MX" w:eastAsia="es-MX"/>
              </w:rPr>
              <w:t>183,237,574,670.8</w:t>
            </w:r>
          </w:p>
        </w:tc>
      </w:tr>
    </w:tbl>
    <w:p w14:paraId="7C2B366F" w14:textId="77777777" w:rsidR="00392415" w:rsidRDefault="00392415" w:rsidP="00C16E7C">
      <w:pPr>
        <w:pStyle w:val="TEXTONORMAL"/>
      </w:pPr>
    </w:p>
    <w:p w14:paraId="20D43943" w14:textId="77777777" w:rsidR="009D5C48" w:rsidRPr="002778C0" w:rsidRDefault="00F87332" w:rsidP="003F2A12">
      <w:pPr>
        <w:pStyle w:val="VIETAFLECHA"/>
        <w:numPr>
          <w:ilvl w:val="1"/>
          <w:numId w:val="39"/>
        </w:numPr>
        <w:ind w:left="357" w:hanging="357"/>
      </w:pPr>
      <w:r w:rsidRPr="008142BE">
        <w:rPr>
          <w:b/>
        </w:rPr>
        <w:t>4.2</w:t>
      </w:r>
      <w:r>
        <w:t xml:space="preserve"> </w:t>
      </w:r>
      <w:r w:rsidR="009D5C48" w:rsidRPr="002778C0">
        <w:t>Materiales y Suministros</w:t>
      </w:r>
    </w:p>
    <w:p w14:paraId="08A5796A" w14:textId="77777777" w:rsidR="009D5C48" w:rsidRDefault="009D5C48" w:rsidP="00C16E7C">
      <w:pPr>
        <w:pStyle w:val="TEXTONORMAL"/>
      </w:pPr>
      <w:r w:rsidRPr="001465AC">
        <w:t xml:space="preserve">Al </w:t>
      </w:r>
      <w:r w:rsidR="00E9533D">
        <w:t>30 de septiembre</w:t>
      </w:r>
      <w:r w:rsidR="005E77B6" w:rsidRPr="00C92890">
        <w:t xml:space="preserve"> de 2022 y 2021</w:t>
      </w:r>
      <w:r w:rsidRPr="001465AC">
        <w:t xml:space="preserve">, </w:t>
      </w:r>
      <w:r>
        <w:t>el rubro de Materiales y Suministros está integrado</w:t>
      </w:r>
      <w:r w:rsidRPr="001465AC">
        <w:t xml:space="preserve"> como se muestra a continuación:</w:t>
      </w:r>
    </w:p>
    <w:p w14:paraId="4F2F8237" w14:textId="77777777" w:rsidR="00B17E40" w:rsidRDefault="00B17E40" w:rsidP="00C16E7C">
      <w:pPr>
        <w:pStyle w:val="TEXTONORMAL"/>
      </w:pPr>
    </w:p>
    <w:tbl>
      <w:tblPr>
        <w:tblW w:w="11186" w:type="dxa"/>
        <w:jc w:val="center"/>
        <w:tblCellMar>
          <w:left w:w="70" w:type="dxa"/>
          <w:right w:w="70" w:type="dxa"/>
        </w:tblCellMar>
        <w:tblLook w:val="04A0" w:firstRow="1" w:lastRow="0" w:firstColumn="1" w:lastColumn="0" w:noHBand="0" w:noVBand="1"/>
      </w:tblPr>
      <w:tblGrid>
        <w:gridCol w:w="6874"/>
        <w:gridCol w:w="2182"/>
        <w:gridCol w:w="2130"/>
      </w:tblGrid>
      <w:tr w:rsidR="00B17E40" w:rsidRPr="00B17E40" w14:paraId="62832ACC" w14:textId="77777777" w:rsidTr="00B17E40">
        <w:trPr>
          <w:trHeight w:val="276"/>
          <w:jc w:val="center"/>
        </w:trPr>
        <w:tc>
          <w:tcPr>
            <w:tcW w:w="687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CA36659" w14:textId="77777777" w:rsidR="00B17E40" w:rsidRPr="00B17E40" w:rsidRDefault="00B17E40" w:rsidP="00B17E40">
            <w:pPr>
              <w:spacing w:after="0" w:line="240" w:lineRule="auto"/>
              <w:jc w:val="center"/>
              <w:rPr>
                <w:rFonts w:ascii="Montserrat" w:eastAsia="Times New Roman" w:hAnsi="Montserrat"/>
                <w:b/>
                <w:bCs/>
                <w:color w:val="FFFFFF"/>
                <w:sz w:val="16"/>
                <w:szCs w:val="16"/>
                <w:lang w:val="es-MX" w:eastAsia="es-MX"/>
              </w:rPr>
            </w:pPr>
            <w:r w:rsidRPr="00B17E40">
              <w:rPr>
                <w:rFonts w:ascii="Montserrat" w:eastAsia="Times New Roman" w:hAnsi="Montserrat"/>
                <w:b/>
                <w:bCs/>
                <w:color w:val="FFFFFF"/>
                <w:sz w:val="16"/>
                <w:szCs w:val="16"/>
                <w:lang w:val="es-MX" w:eastAsia="es-MX"/>
              </w:rPr>
              <w:t>Concepto</w:t>
            </w:r>
          </w:p>
        </w:tc>
        <w:tc>
          <w:tcPr>
            <w:tcW w:w="431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39A5386" w14:textId="77777777" w:rsidR="00B17E40" w:rsidRPr="00B17E40" w:rsidRDefault="00B17E40" w:rsidP="00B17E40">
            <w:pPr>
              <w:spacing w:after="0" w:line="240" w:lineRule="auto"/>
              <w:jc w:val="center"/>
              <w:rPr>
                <w:rFonts w:ascii="Montserrat" w:eastAsia="Times New Roman" w:hAnsi="Montserrat"/>
                <w:b/>
                <w:bCs/>
                <w:color w:val="FFFFFF"/>
                <w:sz w:val="16"/>
                <w:szCs w:val="16"/>
                <w:lang w:val="es-MX" w:eastAsia="es-MX"/>
              </w:rPr>
            </w:pPr>
            <w:r w:rsidRPr="00B17E40">
              <w:rPr>
                <w:rFonts w:ascii="Montserrat" w:eastAsia="Times New Roman" w:hAnsi="Montserrat"/>
                <w:b/>
                <w:bCs/>
                <w:color w:val="FFFFFF"/>
                <w:sz w:val="16"/>
                <w:szCs w:val="16"/>
                <w:lang w:val="es-MX" w:eastAsia="es-MX"/>
              </w:rPr>
              <w:t>Cifras en pesos</w:t>
            </w:r>
          </w:p>
        </w:tc>
      </w:tr>
      <w:tr w:rsidR="00B17E40" w:rsidRPr="00B17E40" w14:paraId="10905014" w14:textId="77777777" w:rsidTr="00B17E40">
        <w:trPr>
          <w:trHeight w:val="276"/>
          <w:jc w:val="center"/>
        </w:trPr>
        <w:tc>
          <w:tcPr>
            <w:tcW w:w="6874" w:type="dxa"/>
            <w:vMerge/>
            <w:tcBorders>
              <w:top w:val="single" w:sz="12" w:space="0" w:color="808080"/>
              <w:left w:val="single" w:sz="12" w:space="0" w:color="FFFFFF"/>
              <w:bottom w:val="double" w:sz="6" w:space="0" w:color="808080"/>
              <w:right w:val="single" w:sz="12" w:space="0" w:color="FFFFFF"/>
            </w:tcBorders>
            <w:vAlign w:val="center"/>
            <w:hideMark/>
          </w:tcPr>
          <w:p w14:paraId="5D0DBC42" w14:textId="77777777" w:rsidR="00B17E40" w:rsidRPr="00B17E40" w:rsidRDefault="00B17E40" w:rsidP="00B17E40">
            <w:pPr>
              <w:spacing w:after="0" w:line="240" w:lineRule="auto"/>
              <w:rPr>
                <w:rFonts w:ascii="Montserrat" w:eastAsia="Times New Roman" w:hAnsi="Montserrat"/>
                <w:b/>
                <w:bCs/>
                <w:color w:val="FFFFFF"/>
                <w:sz w:val="16"/>
                <w:szCs w:val="16"/>
                <w:lang w:val="es-MX" w:eastAsia="es-MX"/>
              </w:rPr>
            </w:pPr>
          </w:p>
        </w:tc>
        <w:tc>
          <w:tcPr>
            <w:tcW w:w="2182" w:type="dxa"/>
            <w:tcBorders>
              <w:top w:val="nil"/>
              <w:left w:val="nil"/>
              <w:bottom w:val="double" w:sz="6" w:space="0" w:color="808080"/>
              <w:right w:val="single" w:sz="12" w:space="0" w:color="FFFFFF"/>
            </w:tcBorders>
            <w:shd w:val="clear" w:color="000000" w:fill="D4C19C"/>
            <w:vAlign w:val="center"/>
            <w:hideMark/>
          </w:tcPr>
          <w:p w14:paraId="72FC1C3F" w14:textId="77777777" w:rsidR="00B17E40" w:rsidRPr="00B17E40" w:rsidRDefault="00B17E40" w:rsidP="00B17E40">
            <w:pPr>
              <w:spacing w:after="0" w:line="240" w:lineRule="auto"/>
              <w:jc w:val="center"/>
              <w:rPr>
                <w:rFonts w:ascii="Montserrat" w:eastAsia="Times New Roman" w:hAnsi="Montserrat"/>
                <w:b/>
                <w:bCs/>
                <w:color w:val="FFFFFF"/>
                <w:sz w:val="16"/>
                <w:szCs w:val="16"/>
                <w:lang w:val="es-MX" w:eastAsia="es-MX"/>
              </w:rPr>
            </w:pPr>
            <w:r w:rsidRPr="00B17E40">
              <w:rPr>
                <w:rFonts w:ascii="Montserrat" w:eastAsia="Times New Roman" w:hAnsi="Montserrat"/>
                <w:b/>
                <w:bCs/>
                <w:color w:val="FFFFFF"/>
                <w:sz w:val="16"/>
                <w:szCs w:val="16"/>
                <w:lang w:val="es-MX" w:eastAsia="es-MX"/>
              </w:rPr>
              <w:t>2022</w:t>
            </w:r>
          </w:p>
        </w:tc>
        <w:tc>
          <w:tcPr>
            <w:tcW w:w="2130" w:type="dxa"/>
            <w:tcBorders>
              <w:top w:val="nil"/>
              <w:left w:val="nil"/>
              <w:bottom w:val="double" w:sz="6" w:space="0" w:color="808080"/>
              <w:right w:val="single" w:sz="12" w:space="0" w:color="FFFFFF"/>
            </w:tcBorders>
            <w:shd w:val="clear" w:color="000000" w:fill="D4C19C"/>
            <w:vAlign w:val="center"/>
            <w:hideMark/>
          </w:tcPr>
          <w:p w14:paraId="4CD488C8" w14:textId="77777777" w:rsidR="00B17E40" w:rsidRPr="00B17E40" w:rsidRDefault="00B17E40" w:rsidP="00B17E40">
            <w:pPr>
              <w:spacing w:after="0" w:line="240" w:lineRule="auto"/>
              <w:jc w:val="center"/>
              <w:rPr>
                <w:rFonts w:ascii="Montserrat" w:eastAsia="Times New Roman" w:hAnsi="Montserrat"/>
                <w:b/>
                <w:bCs/>
                <w:color w:val="FFFFFF"/>
                <w:sz w:val="16"/>
                <w:szCs w:val="16"/>
                <w:lang w:val="es-MX" w:eastAsia="es-MX"/>
              </w:rPr>
            </w:pPr>
            <w:r w:rsidRPr="00B17E40">
              <w:rPr>
                <w:rFonts w:ascii="Montserrat" w:eastAsia="Times New Roman" w:hAnsi="Montserrat"/>
                <w:b/>
                <w:bCs/>
                <w:color w:val="FFFFFF"/>
                <w:sz w:val="16"/>
                <w:szCs w:val="16"/>
                <w:lang w:val="es-MX" w:eastAsia="es-MX"/>
              </w:rPr>
              <w:t>2021</w:t>
            </w:r>
          </w:p>
        </w:tc>
      </w:tr>
      <w:tr w:rsidR="00B17E40" w:rsidRPr="00B17E40" w14:paraId="19EF73A8" w14:textId="77777777" w:rsidTr="00B17E40">
        <w:trPr>
          <w:trHeight w:val="264"/>
          <w:jc w:val="center"/>
        </w:trPr>
        <w:tc>
          <w:tcPr>
            <w:tcW w:w="6874" w:type="dxa"/>
            <w:tcBorders>
              <w:top w:val="nil"/>
              <w:left w:val="nil"/>
              <w:bottom w:val="nil"/>
              <w:right w:val="nil"/>
            </w:tcBorders>
            <w:shd w:val="clear" w:color="000000" w:fill="F2F2F2"/>
            <w:vAlign w:val="center"/>
            <w:hideMark/>
          </w:tcPr>
          <w:p w14:paraId="0B5CC691"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Productos Químicos, Farmacéuticos y de Laboratorio</w:t>
            </w:r>
          </w:p>
        </w:tc>
        <w:tc>
          <w:tcPr>
            <w:tcW w:w="2182" w:type="dxa"/>
            <w:tcBorders>
              <w:top w:val="nil"/>
              <w:left w:val="nil"/>
              <w:bottom w:val="nil"/>
              <w:right w:val="nil"/>
            </w:tcBorders>
            <w:shd w:val="clear" w:color="000000" w:fill="F2F2F2"/>
            <w:vAlign w:val="center"/>
            <w:hideMark/>
          </w:tcPr>
          <w:p w14:paraId="013A5E1B"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38,666,771,351.0</w:t>
            </w:r>
          </w:p>
        </w:tc>
        <w:tc>
          <w:tcPr>
            <w:tcW w:w="2130" w:type="dxa"/>
            <w:tcBorders>
              <w:top w:val="nil"/>
              <w:left w:val="nil"/>
              <w:bottom w:val="nil"/>
              <w:right w:val="nil"/>
            </w:tcBorders>
            <w:shd w:val="clear" w:color="000000" w:fill="F2F2F2"/>
            <w:vAlign w:val="center"/>
            <w:hideMark/>
          </w:tcPr>
          <w:p w14:paraId="3738D27A"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36,425,623,384.5</w:t>
            </w:r>
          </w:p>
        </w:tc>
      </w:tr>
      <w:tr w:rsidR="00B17E40" w:rsidRPr="00B17E40" w14:paraId="22602B18" w14:textId="77777777" w:rsidTr="00B17E40">
        <w:trPr>
          <w:trHeight w:val="251"/>
          <w:jc w:val="center"/>
        </w:trPr>
        <w:tc>
          <w:tcPr>
            <w:tcW w:w="6874" w:type="dxa"/>
            <w:tcBorders>
              <w:top w:val="nil"/>
              <w:left w:val="nil"/>
              <w:bottom w:val="nil"/>
              <w:right w:val="nil"/>
            </w:tcBorders>
            <w:shd w:val="clear" w:color="000000" w:fill="F2F2F2"/>
            <w:vAlign w:val="center"/>
            <w:hideMark/>
          </w:tcPr>
          <w:p w14:paraId="1234B11A"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Herramientas, Refacciones y Accesorios Menores</w:t>
            </w:r>
          </w:p>
        </w:tc>
        <w:tc>
          <w:tcPr>
            <w:tcW w:w="2182" w:type="dxa"/>
            <w:tcBorders>
              <w:top w:val="nil"/>
              <w:left w:val="nil"/>
              <w:bottom w:val="nil"/>
              <w:right w:val="nil"/>
            </w:tcBorders>
            <w:shd w:val="clear" w:color="000000" w:fill="F2F2F2"/>
            <w:vAlign w:val="center"/>
            <w:hideMark/>
          </w:tcPr>
          <w:p w14:paraId="0A7AE759"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1,495,566,126.0</w:t>
            </w:r>
          </w:p>
        </w:tc>
        <w:tc>
          <w:tcPr>
            <w:tcW w:w="2130" w:type="dxa"/>
            <w:tcBorders>
              <w:top w:val="nil"/>
              <w:left w:val="nil"/>
              <w:bottom w:val="nil"/>
              <w:right w:val="nil"/>
            </w:tcBorders>
            <w:shd w:val="clear" w:color="000000" w:fill="F2F2F2"/>
            <w:vAlign w:val="center"/>
            <w:hideMark/>
          </w:tcPr>
          <w:p w14:paraId="2809FDF3"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1,379,909,608.2</w:t>
            </w:r>
          </w:p>
        </w:tc>
      </w:tr>
      <w:tr w:rsidR="00B17E40" w:rsidRPr="00B17E40" w14:paraId="32C97F4E" w14:textId="77777777" w:rsidTr="00B17E40">
        <w:trPr>
          <w:trHeight w:val="251"/>
          <w:jc w:val="center"/>
        </w:trPr>
        <w:tc>
          <w:tcPr>
            <w:tcW w:w="6874" w:type="dxa"/>
            <w:tcBorders>
              <w:top w:val="nil"/>
              <w:left w:val="nil"/>
              <w:bottom w:val="nil"/>
              <w:right w:val="nil"/>
            </w:tcBorders>
            <w:shd w:val="clear" w:color="000000" w:fill="F2F2F2"/>
            <w:vAlign w:val="center"/>
            <w:hideMark/>
          </w:tcPr>
          <w:p w14:paraId="5E620D0F"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Materiales de Administración, Emisión de Documentos y Artículos Oficiales</w:t>
            </w:r>
          </w:p>
        </w:tc>
        <w:tc>
          <w:tcPr>
            <w:tcW w:w="2182" w:type="dxa"/>
            <w:tcBorders>
              <w:top w:val="nil"/>
              <w:left w:val="nil"/>
              <w:bottom w:val="nil"/>
              <w:right w:val="nil"/>
            </w:tcBorders>
            <w:shd w:val="clear" w:color="000000" w:fill="F2F2F2"/>
            <w:vAlign w:val="center"/>
            <w:hideMark/>
          </w:tcPr>
          <w:p w14:paraId="729BF461"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1,268,347,805.3</w:t>
            </w:r>
          </w:p>
        </w:tc>
        <w:tc>
          <w:tcPr>
            <w:tcW w:w="2130" w:type="dxa"/>
            <w:tcBorders>
              <w:top w:val="nil"/>
              <w:left w:val="nil"/>
              <w:bottom w:val="nil"/>
              <w:right w:val="nil"/>
            </w:tcBorders>
            <w:shd w:val="clear" w:color="000000" w:fill="F2F2F2"/>
            <w:vAlign w:val="center"/>
            <w:hideMark/>
          </w:tcPr>
          <w:p w14:paraId="63FB17B6"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1,095,083,034.1</w:t>
            </w:r>
          </w:p>
        </w:tc>
      </w:tr>
      <w:tr w:rsidR="00B17E40" w:rsidRPr="00B17E40" w14:paraId="78DDEF10" w14:textId="77777777" w:rsidTr="00B17E40">
        <w:trPr>
          <w:trHeight w:val="251"/>
          <w:jc w:val="center"/>
        </w:trPr>
        <w:tc>
          <w:tcPr>
            <w:tcW w:w="6874" w:type="dxa"/>
            <w:tcBorders>
              <w:top w:val="nil"/>
              <w:left w:val="nil"/>
              <w:bottom w:val="nil"/>
              <w:right w:val="nil"/>
            </w:tcBorders>
            <w:shd w:val="clear" w:color="000000" w:fill="F2F2F2"/>
            <w:vAlign w:val="center"/>
            <w:hideMark/>
          </w:tcPr>
          <w:p w14:paraId="7725932C"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Alimentos y Utensilios</w:t>
            </w:r>
          </w:p>
        </w:tc>
        <w:tc>
          <w:tcPr>
            <w:tcW w:w="2182" w:type="dxa"/>
            <w:tcBorders>
              <w:top w:val="nil"/>
              <w:left w:val="nil"/>
              <w:bottom w:val="nil"/>
              <w:right w:val="nil"/>
            </w:tcBorders>
            <w:shd w:val="clear" w:color="000000" w:fill="F2F2F2"/>
            <w:vAlign w:val="center"/>
            <w:hideMark/>
          </w:tcPr>
          <w:p w14:paraId="778BF5E4"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1,522,673,509.1</w:t>
            </w:r>
          </w:p>
        </w:tc>
        <w:tc>
          <w:tcPr>
            <w:tcW w:w="2130" w:type="dxa"/>
            <w:tcBorders>
              <w:top w:val="nil"/>
              <w:left w:val="nil"/>
              <w:bottom w:val="nil"/>
              <w:right w:val="nil"/>
            </w:tcBorders>
            <w:shd w:val="clear" w:color="000000" w:fill="F2F2F2"/>
            <w:vAlign w:val="center"/>
            <w:hideMark/>
          </w:tcPr>
          <w:p w14:paraId="4F653638"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1,308,308,712.2</w:t>
            </w:r>
          </w:p>
        </w:tc>
      </w:tr>
      <w:tr w:rsidR="00B17E40" w:rsidRPr="00B17E40" w14:paraId="794FAEB4" w14:textId="77777777" w:rsidTr="00B17E40">
        <w:trPr>
          <w:trHeight w:val="251"/>
          <w:jc w:val="center"/>
        </w:trPr>
        <w:tc>
          <w:tcPr>
            <w:tcW w:w="6874" w:type="dxa"/>
            <w:tcBorders>
              <w:top w:val="nil"/>
              <w:left w:val="nil"/>
              <w:bottom w:val="nil"/>
              <w:right w:val="nil"/>
            </w:tcBorders>
            <w:shd w:val="clear" w:color="000000" w:fill="F2F2F2"/>
            <w:vAlign w:val="center"/>
            <w:hideMark/>
          </w:tcPr>
          <w:p w14:paraId="75292827"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Combustibles, Lubricantes y Aditivos</w:t>
            </w:r>
          </w:p>
        </w:tc>
        <w:tc>
          <w:tcPr>
            <w:tcW w:w="2182" w:type="dxa"/>
            <w:tcBorders>
              <w:top w:val="nil"/>
              <w:left w:val="nil"/>
              <w:bottom w:val="nil"/>
              <w:right w:val="nil"/>
            </w:tcBorders>
            <w:shd w:val="clear" w:color="000000" w:fill="F2F2F2"/>
            <w:vAlign w:val="center"/>
            <w:hideMark/>
          </w:tcPr>
          <w:p w14:paraId="46F65D60"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651,052,547.8</w:t>
            </w:r>
          </w:p>
        </w:tc>
        <w:tc>
          <w:tcPr>
            <w:tcW w:w="2130" w:type="dxa"/>
            <w:tcBorders>
              <w:top w:val="nil"/>
              <w:left w:val="nil"/>
              <w:bottom w:val="nil"/>
              <w:right w:val="nil"/>
            </w:tcBorders>
            <w:shd w:val="clear" w:color="000000" w:fill="F2F2F2"/>
            <w:vAlign w:val="center"/>
            <w:hideMark/>
          </w:tcPr>
          <w:p w14:paraId="7468F36E"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610,988,767.2</w:t>
            </w:r>
          </w:p>
        </w:tc>
      </w:tr>
      <w:tr w:rsidR="00B17E40" w:rsidRPr="00B17E40" w14:paraId="0F91F404" w14:textId="77777777" w:rsidTr="00B17E40">
        <w:trPr>
          <w:trHeight w:val="251"/>
          <w:jc w:val="center"/>
        </w:trPr>
        <w:tc>
          <w:tcPr>
            <w:tcW w:w="6874" w:type="dxa"/>
            <w:tcBorders>
              <w:top w:val="nil"/>
              <w:left w:val="nil"/>
              <w:bottom w:val="nil"/>
              <w:right w:val="nil"/>
            </w:tcBorders>
            <w:shd w:val="clear" w:color="000000" w:fill="F2F2F2"/>
            <w:vAlign w:val="center"/>
            <w:hideMark/>
          </w:tcPr>
          <w:p w14:paraId="00EE3764"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Vestuario, Blancos, Prendas de Protección y Artículos Deportivos</w:t>
            </w:r>
          </w:p>
        </w:tc>
        <w:tc>
          <w:tcPr>
            <w:tcW w:w="2182" w:type="dxa"/>
            <w:tcBorders>
              <w:top w:val="nil"/>
              <w:left w:val="nil"/>
              <w:bottom w:val="nil"/>
              <w:right w:val="nil"/>
            </w:tcBorders>
            <w:shd w:val="clear" w:color="000000" w:fill="F2F2F2"/>
            <w:vAlign w:val="center"/>
            <w:hideMark/>
          </w:tcPr>
          <w:p w14:paraId="4DCF9E84"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150,452,881.9</w:t>
            </w:r>
          </w:p>
        </w:tc>
        <w:tc>
          <w:tcPr>
            <w:tcW w:w="2130" w:type="dxa"/>
            <w:tcBorders>
              <w:top w:val="nil"/>
              <w:left w:val="nil"/>
              <w:bottom w:val="nil"/>
              <w:right w:val="nil"/>
            </w:tcBorders>
            <w:shd w:val="clear" w:color="000000" w:fill="F2F2F2"/>
            <w:vAlign w:val="center"/>
            <w:hideMark/>
          </w:tcPr>
          <w:p w14:paraId="310107B8"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266,377,839.6</w:t>
            </w:r>
          </w:p>
        </w:tc>
      </w:tr>
      <w:tr w:rsidR="00B17E40" w:rsidRPr="00B17E40" w14:paraId="01BDB491" w14:textId="77777777" w:rsidTr="00B17E40">
        <w:trPr>
          <w:trHeight w:val="251"/>
          <w:jc w:val="center"/>
        </w:trPr>
        <w:tc>
          <w:tcPr>
            <w:tcW w:w="6874" w:type="dxa"/>
            <w:tcBorders>
              <w:top w:val="nil"/>
              <w:left w:val="nil"/>
              <w:bottom w:val="nil"/>
              <w:right w:val="nil"/>
            </w:tcBorders>
            <w:shd w:val="clear" w:color="000000" w:fill="F2F2F2"/>
            <w:vAlign w:val="center"/>
            <w:hideMark/>
          </w:tcPr>
          <w:p w14:paraId="6D4AEC95"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Materiales y Artículos de Construcción y de Reparación</w:t>
            </w:r>
          </w:p>
        </w:tc>
        <w:tc>
          <w:tcPr>
            <w:tcW w:w="2182" w:type="dxa"/>
            <w:tcBorders>
              <w:top w:val="nil"/>
              <w:left w:val="nil"/>
              <w:bottom w:val="nil"/>
              <w:right w:val="nil"/>
            </w:tcBorders>
            <w:shd w:val="clear" w:color="000000" w:fill="F2F2F2"/>
            <w:vAlign w:val="center"/>
            <w:hideMark/>
          </w:tcPr>
          <w:p w14:paraId="6E62F3A2"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181,960,502.3</w:t>
            </w:r>
          </w:p>
        </w:tc>
        <w:tc>
          <w:tcPr>
            <w:tcW w:w="2130" w:type="dxa"/>
            <w:tcBorders>
              <w:top w:val="nil"/>
              <w:left w:val="nil"/>
              <w:bottom w:val="nil"/>
              <w:right w:val="nil"/>
            </w:tcBorders>
            <w:shd w:val="clear" w:color="000000" w:fill="F2F2F2"/>
            <w:vAlign w:val="center"/>
            <w:hideMark/>
          </w:tcPr>
          <w:p w14:paraId="65297015"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165,816,332.5</w:t>
            </w:r>
          </w:p>
        </w:tc>
      </w:tr>
      <w:tr w:rsidR="00B17E40" w:rsidRPr="00B17E40" w14:paraId="0EF5850F" w14:textId="77777777" w:rsidTr="00B17E40">
        <w:trPr>
          <w:trHeight w:val="251"/>
          <w:jc w:val="center"/>
        </w:trPr>
        <w:tc>
          <w:tcPr>
            <w:tcW w:w="6874" w:type="dxa"/>
            <w:tcBorders>
              <w:top w:val="nil"/>
              <w:left w:val="nil"/>
              <w:bottom w:val="nil"/>
              <w:right w:val="nil"/>
            </w:tcBorders>
            <w:shd w:val="clear" w:color="000000" w:fill="F2F2F2"/>
            <w:vAlign w:val="center"/>
            <w:hideMark/>
          </w:tcPr>
          <w:p w14:paraId="65C4D778" w14:textId="77777777" w:rsidR="00B17E40" w:rsidRPr="00B17E40" w:rsidRDefault="00B17E40" w:rsidP="00B17E40">
            <w:pPr>
              <w:spacing w:after="0" w:line="240" w:lineRule="auto"/>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Materias Primas y Materiales de Producción y Comercialización</w:t>
            </w:r>
          </w:p>
        </w:tc>
        <w:tc>
          <w:tcPr>
            <w:tcW w:w="2182" w:type="dxa"/>
            <w:tcBorders>
              <w:top w:val="nil"/>
              <w:left w:val="nil"/>
              <w:bottom w:val="nil"/>
              <w:right w:val="nil"/>
            </w:tcBorders>
            <w:shd w:val="clear" w:color="000000" w:fill="F2F2F2"/>
            <w:vAlign w:val="center"/>
            <w:hideMark/>
          </w:tcPr>
          <w:p w14:paraId="4B8B0AA9"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41,151.</w:t>
            </w:r>
            <w:r w:rsidR="00941373">
              <w:rPr>
                <w:rFonts w:ascii="Montserrat" w:eastAsia="Times New Roman" w:hAnsi="Montserrat"/>
                <w:color w:val="000000"/>
                <w:sz w:val="15"/>
                <w:szCs w:val="15"/>
                <w:lang w:val="es-MX" w:eastAsia="es-MX"/>
              </w:rPr>
              <w:t>1</w:t>
            </w:r>
          </w:p>
        </w:tc>
        <w:tc>
          <w:tcPr>
            <w:tcW w:w="2130" w:type="dxa"/>
            <w:tcBorders>
              <w:top w:val="nil"/>
              <w:left w:val="nil"/>
              <w:bottom w:val="nil"/>
              <w:right w:val="nil"/>
            </w:tcBorders>
            <w:shd w:val="clear" w:color="000000" w:fill="F2F2F2"/>
            <w:vAlign w:val="center"/>
            <w:hideMark/>
          </w:tcPr>
          <w:p w14:paraId="3024CDBC" w14:textId="77777777" w:rsidR="00B17E40" w:rsidRPr="00B17E40" w:rsidRDefault="00B17E40" w:rsidP="00B17E40">
            <w:pPr>
              <w:spacing w:after="0" w:line="240" w:lineRule="auto"/>
              <w:jc w:val="right"/>
              <w:rPr>
                <w:rFonts w:ascii="Montserrat" w:eastAsia="Times New Roman" w:hAnsi="Montserrat"/>
                <w:color w:val="000000"/>
                <w:sz w:val="15"/>
                <w:szCs w:val="15"/>
                <w:lang w:val="es-MX" w:eastAsia="es-MX"/>
              </w:rPr>
            </w:pPr>
            <w:r w:rsidRPr="00B17E40">
              <w:rPr>
                <w:rFonts w:ascii="Montserrat" w:eastAsia="Times New Roman" w:hAnsi="Montserrat"/>
                <w:color w:val="000000"/>
                <w:sz w:val="15"/>
                <w:szCs w:val="15"/>
                <w:lang w:val="es-MX" w:eastAsia="es-MX"/>
              </w:rPr>
              <w:t>288,749.5</w:t>
            </w:r>
          </w:p>
        </w:tc>
      </w:tr>
      <w:tr w:rsidR="00B17E40" w:rsidRPr="00B17E40" w14:paraId="666AA56C" w14:textId="77777777" w:rsidTr="00B17E40">
        <w:trPr>
          <w:trHeight w:val="264"/>
          <w:jc w:val="center"/>
        </w:trPr>
        <w:tc>
          <w:tcPr>
            <w:tcW w:w="6874" w:type="dxa"/>
            <w:tcBorders>
              <w:top w:val="nil"/>
              <w:left w:val="nil"/>
              <w:bottom w:val="single" w:sz="12" w:space="0" w:color="808080"/>
              <w:right w:val="nil"/>
            </w:tcBorders>
            <w:shd w:val="clear" w:color="000000" w:fill="F2F2F2"/>
            <w:vAlign w:val="center"/>
            <w:hideMark/>
          </w:tcPr>
          <w:p w14:paraId="7BFE492B" w14:textId="77777777" w:rsidR="00B17E40" w:rsidRPr="00B17E40" w:rsidRDefault="00B17E40" w:rsidP="00B17E40">
            <w:pPr>
              <w:spacing w:after="0" w:line="240" w:lineRule="auto"/>
              <w:rPr>
                <w:rFonts w:ascii="Montserrat" w:eastAsia="Times New Roman" w:hAnsi="Montserrat"/>
                <w:b/>
                <w:bCs/>
                <w:color w:val="000000"/>
                <w:sz w:val="15"/>
                <w:szCs w:val="15"/>
                <w:lang w:val="es-MX" w:eastAsia="es-MX"/>
              </w:rPr>
            </w:pPr>
            <w:r w:rsidRPr="00B17E40">
              <w:rPr>
                <w:rFonts w:ascii="Montserrat" w:eastAsia="Times New Roman" w:hAnsi="Montserrat"/>
                <w:b/>
                <w:bCs/>
                <w:color w:val="000000"/>
                <w:sz w:val="15"/>
                <w:szCs w:val="15"/>
                <w:lang w:val="es-MX" w:eastAsia="es-MX"/>
              </w:rPr>
              <w:t>Total Materiales y Suministros</w:t>
            </w:r>
          </w:p>
        </w:tc>
        <w:tc>
          <w:tcPr>
            <w:tcW w:w="2182" w:type="dxa"/>
            <w:tcBorders>
              <w:top w:val="nil"/>
              <w:left w:val="nil"/>
              <w:bottom w:val="single" w:sz="12" w:space="0" w:color="808080"/>
              <w:right w:val="nil"/>
            </w:tcBorders>
            <w:shd w:val="clear" w:color="000000" w:fill="F2F2F2"/>
            <w:vAlign w:val="center"/>
            <w:hideMark/>
          </w:tcPr>
          <w:p w14:paraId="6549E3B7" w14:textId="77777777" w:rsidR="00B17E40" w:rsidRPr="00B17E40" w:rsidRDefault="00B17E40" w:rsidP="00B17E40">
            <w:pPr>
              <w:spacing w:after="0" w:line="240" w:lineRule="auto"/>
              <w:jc w:val="right"/>
              <w:rPr>
                <w:rFonts w:ascii="Montserrat" w:eastAsia="Times New Roman" w:hAnsi="Montserrat"/>
                <w:b/>
                <w:bCs/>
                <w:color w:val="000000"/>
                <w:sz w:val="15"/>
                <w:szCs w:val="15"/>
                <w:lang w:val="es-MX" w:eastAsia="es-MX"/>
              </w:rPr>
            </w:pPr>
            <w:r w:rsidRPr="00B17E40">
              <w:rPr>
                <w:rFonts w:ascii="Montserrat" w:eastAsia="Times New Roman" w:hAnsi="Montserrat"/>
                <w:b/>
                <w:bCs/>
                <w:color w:val="000000"/>
                <w:sz w:val="15"/>
                <w:szCs w:val="15"/>
                <w:lang w:val="es-MX" w:eastAsia="es-MX"/>
              </w:rPr>
              <w:t>43,936,865,874.5</w:t>
            </w:r>
          </w:p>
        </w:tc>
        <w:tc>
          <w:tcPr>
            <w:tcW w:w="2130" w:type="dxa"/>
            <w:tcBorders>
              <w:top w:val="nil"/>
              <w:left w:val="nil"/>
              <w:bottom w:val="single" w:sz="12" w:space="0" w:color="808080"/>
              <w:right w:val="nil"/>
            </w:tcBorders>
            <w:shd w:val="clear" w:color="000000" w:fill="F2F2F2"/>
            <w:vAlign w:val="center"/>
            <w:hideMark/>
          </w:tcPr>
          <w:p w14:paraId="5EB1CF4D" w14:textId="77777777" w:rsidR="00B17E40" w:rsidRPr="00B17E40" w:rsidRDefault="00B17E40" w:rsidP="00B17E40">
            <w:pPr>
              <w:spacing w:after="0" w:line="240" w:lineRule="auto"/>
              <w:jc w:val="right"/>
              <w:rPr>
                <w:rFonts w:ascii="Montserrat" w:eastAsia="Times New Roman" w:hAnsi="Montserrat"/>
                <w:b/>
                <w:bCs/>
                <w:color w:val="000000"/>
                <w:sz w:val="15"/>
                <w:szCs w:val="15"/>
                <w:lang w:val="es-MX" w:eastAsia="es-MX"/>
              </w:rPr>
            </w:pPr>
            <w:r w:rsidRPr="00B17E40">
              <w:rPr>
                <w:rFonts w:ascii="Montserrat" w:eastAsia="Times New Roman" w:hAnsi="Montserrat"/>
                <w:b/>
                <w:bCs/>
                <w:color w:val="000000"/>
                <w:sz w:val="15"/>
                <w:szCs w:val="15"/>
                <w:lang w:val="es-MX" w:eastAsia="es-MX"/>
              </w:rPr>
              <w:t>41,252,396,427.</w:t>
            </w:r>
            <w:r w:rsidR="00941373">
              <w:rPr>
                <w:rFonts w:ascii="Montserrat" w:eastAsia="Times New Roman" w:hAnsi="Montserrat"/>
                <w:b/>
                <w:bCs/>
                <w:color w:val="000000"/>
                <w:sz w:val="15"/>
                <w:szCs w:val="15"/>
                <w:lang w:val="es-MX" w:eastAsia="es-MX"/>
              </w:rPr>
              <w:t>8</w:t>
            </w:r>
          </w:p>
        </w:tc>
      </w:tr>
    </w:tbl>
    <w:p w14:paraId="24590205" w14:textId="77777777" w:rsidR="00B17E40" w:rsidRDefault="00B17E40" w:rsidP="00C16E7C">
      <w:pPr>
        <w:pStyle w:val="TEXTONORMAL"/>
      </w:pPr>
    </w:p>
    <w:p w14:paraId="05AF2EDF" w14:textId="77777777" w:rsidR="00E4106E" w:rsidRDefault="00E4106E" w:rsidP="00C16E7C">
      <w:pPr>
        <w:pStyle w:val="TEXTONORMAL"/>
      </w:pPr>
    </w:p>
    <w:p w14:paraId="2CA5C534" w14:textId="77777777" w:rsidR="009D5C48" w:rsidRPr="002778C0" w:rsidRDefault="00F87332" w:rsidP="003F2A12">
      <w:pPr>
        <w:pStyle w:val="VIETAFLECHA"/>
        <w:numPr>
          <w:ilvl w:val="1"/>
          <w:numId w:val="39"/>
        </w:numPr>
        <w:ind w:left="357" w:hanging="357"/>
      </w:pPr>
      <w:r w:rsidRPr="008142BE">
        <w:rPr>
          <w:b/>
        </w:rPr>
        <w:lastRenderedPageBreak/>
        <w:t>4.3</w:t>
      </w:r>
      <w:r>
        <w:t xml:space="preserve"> </w:t>
      </w:r>
      <w:r w:rsidR="009D5C48" w:rsidRPr="002778C0">
        <w:t>Servicios Generales</w:t>
      </w:r>
    </w:p>
    <w:p w14:paraId="6E8B2B76" w14:textId="77777777" w:rsidR="009D5C48" w:rsidRDefault="009D5C48" w:rsidP="00C16E7C">
      <w:pPr>
        <w:pStyle w:val="TEXTONORMAL"/>
      </w:pPr>
      <w:r w:rsidRPr="001465AC">
        <w:t xml:space="preserve">Al </w:t>
      </w:r>
      <w:r w:rsidR="00BC1D56">
        <w:t>30 de septiembre</w:t>
      </w:r>
      <w:r w:rsidR="005E77B6" w:rsidRPr="00C92890">
        <w:t xml:space="preserve"> de 2022 y 2021</w:t>
      </w:r>
      <w:r w:rsidRPr="001465AC">
        <w:t xml:space="preserve">, </w:t>
      </w:r>
      <w:r>
        <w:t>el rubro de Servicios Generales está integrado</w:t>
      </w:r>
      <w:r w:rsidRPr="001465AC">
        <w:t xml:space="preserve"> como se muestra a continuación:</w:t>
      </w:r>
    </w:p>
    <w:p w14:paraId="6C0F4A52" w14:textId="77777777" w:rsidR="00E653B5" w:rsidRDefault="00E653B5" w:rsidP="00C16E7C">
      <w:pPr>
        <w:pStyle w:val="TEXTONORMAL"/>
      </w:pPr>
    </w:p>
    <w:tbl>
      <w:tblPr>
        <w:tblW w:w="11118" w:type="dxa"/>
        <w:jc w:val="center"/>
        <w:tblCellMar>
          <w:left w:w="70" w:type="dxa"/>
          <w:right w:w="70" w:type="dxa"/>
        </w:tblCellMar>
        <w:tblLook w:val="04A0" w:firstRow="1" w:lastRow="0" w:firstColumn="1" w:lastColumn="0" w:noHBand="0" w:noVBand="1"/>
      </w:tblPr>
      <w:tblGrid>
        <w:gridCol w:w="6832"/>
        <w:gridCol w:w="2168"/>
        <w:gridCol w:w="2118"/>
      </w:tblGrid>
      <w:tr w:rsidR="00E653B5" w:rsidRPr="00E653B5" w14:paraId="61AF7193" w14:textId="77777777" w:rsidTr="00E4106E">
        <w:trPr>
          <w:trHeight w:val="305"/>
          <w:jc w:val="center"/>
        </w:trPr>
        <w:tc>
          <w:tcPr>
            <w:tcW w:w="683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1A320C1" w14:textId="77777777" w:rsidR="00E653B5" w:rsidRPr="00E653B5" w:rsidRDefault="00E653B5" w:rsidP="00E653B5">
            <w:pPr>
              <w:spacing w:after="0" w:line="240" w:lineRule="auto"/>
              <w:jc w:val="center"/>
              <w:rPr>
                <w:rFonts w:ascii="Montserrat" w:eastAsia="Times New Roman" w:hAnsi="Montserrat"/>
                <w:b/>
                <w:bCs/>
                <w:color w:val="FFFFFF"/>
                <w:sz w:val="16"/>
                <w:szCs w:val="16"/>
                <w:lang w:val="es-MX" w:eastAsia="es-MX"/>
              </w:rPr>
            </w:pPr>
            <w:r w:rsidRPr="00E653B5">
              <w:rPr>
                <w:rFonts w:ascii="Montserrat" w:eastAsia="Times New Roman" w:hAnsi="Montserrat"/>
                <w:b/>
                <w:bCs/>
                <w:color w:val="FFFFFF"/>
                <w:sz w:val="16"/>
                <w:szCs w:val="16"/>
                <w:lang w:val="es-MX" w:eastAsia="es-MX"/>
              </w:rPr>
              <w:t>Concepto</w:t>
            </w:r>
          </w:p>
        </w:tc>
        <w:tc>
          <w:tcPr>
            <w:tcW w:w="428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A2C546C" w14:textId="77777777" w:rsidR="00E653B5" w:rsidRPr="00E653B5" w:rsidRDefault="00E653B5" w:rsidP="00E653B5">
            <w:pPr>
              <w:spacing w:after="0" w:line="240" w:lineRule="auto"/>
              <w:jc w:val="center"/>
              <w:rPr>
                <w:rFonts w:ascii="Montserrat" w:eastAsia="Times New Roman" w:hAnsi="Montserrat"/>
                <w:b/>
                <w:bCs/>
                <w:color w:val="FFFFFF"/>
                <w:sz w:val="16"/>
                <w:szCs w:val="16"/>
                <w:lang w:val="es-MX" w:eastAsia="es-MX"/>
              </w:rPr>
            </w:pPr>
            <w:r w:rsidRPr="00E653B5">
              <w:rPr>
                <w:rFonts w:ascii="Montserrat" w:eastAsia="Times New Roman" w:hAnsi="Montserrat"/>
                <w:b/>
                <w:bCs/>
                <w:color w:val="FFFFFF"/>
                <w:sz w:val="16"/>
                <w:szCs w:val="16"/>
                <w:lang w:val="es-MX" w:eastAsia="es-MX"/>
              </w:rPr>
              <w:t>Cifras en pesos</w:t>
            </w:r>
          </w:p>
        </w:tc>
      </w:tr>
      <w:tr w:rsidR="00E653B5" w:rsidRPr="00E653B5" w14:paraId="75B45FC9" w14:textId="77777777" w:rsidTr="00E4106E">
        <w:trPr>
          <w:trHeight w:val="305"/>
          <w:jc w:val="center"/>
        </w:trPr>
        <w:tc>
          <w:tcPr>
            <w:tcW w:w="6832" w:type="dxa"/>
            <w:vMerge/>
            <w:tcBorders>
              <w:top w:val="single" w:sz="12" w:space="0" w:color="808080"/>
              <w:left w:val="single" w:sz="12" w:space="0" w:color="FFFFFF"/>
              <w:bottom w:val="double" w:sz="6" w:space="0" w:color="808080"/>
              <w:right w:val="single" w:sz="12" w:space="0" w:color="FFFFFF"/>
            </w:tcBorders>
            <w:vAlign w:val="center"/>
            <w:hideMark/>
          </w:tcPr>
          <w:p w14:paraId="22A4F30A" w14:textId="77777777" w:rsidR="00E653B5" w:rsidRPr="00E653B5" w:rsidRDefault="00E653B5" w:rsidP="00E653B5">
            <w:pPr>
              <w:spacing w:after="0" w:line="240" w:lineRule="auto"/>
              <w:rPr>
                <w:rFonts w:ascii="Montserrat" w:eastAsia="Times New Roman" w:hAnsi="Montserrat"/>
                <w:b/>
                <w:bCs/>
                <w:color w:val="FFFFFF"/>
                <w:sz w:val="16"/>
                <w:szCs w:val="16"/>
                <w:lang w:val="es-MX" w:eastAsia="es-MX"/>
              </w:rPr>
            </w:pPr>
          </w:p>
        </w:tc>
        <w:tc>
          <w:tcPr>
            <w:tcW w:w="2168" w:type="dxa"/>
            <w:tcBorders>
              <w:top w:val="nil"/>
              <w:left w:val="nil"/>
              <w:bottom w:val="double" w:sz="6" w:space="0" w:color="808080"/>
              <w:right w:val="single" w:sz="12" w:space="0" w:color="FFFFFF"/>
            </w:tcBorders>
            <w:shd w:val="clear" w:color="000000" w:fill="D4C19C"/>
            <w:vAlign w:val="center"/>
            <w:hideMark/>
          </w:tcPr>
          <w:p w14:paraId="2D0C89EB" w14:textId="77777777" w:rsidR="00E653B5" w:rsidRPr="00E653B5" w:rsidRDefault="00E653B5" w:rsidP="00E653B5">
            <w:pPr>
              <w:spacing w:after="0" w:line="240" w:lineRule="auto"/>
              <w:jc w:val="center"/>
              <w:rPr>
                <w:rFonts w:ascii="Montserrat" w:eastAsia="Times New Roman" w:hAnsi="Montserrat"/>
                <w:b/>
                <w:bCs/>
                <w:color w:val="FFFFFF"/>
                <w:sz w:val="16"/>
                <w:szCs w:val="16"/>
                <w:lang w:val="es-MX" w:eastAsia="es-MX"/>
              </w:rPr>
            </w:pPr>
            <w:r w:rsidRPr="00E653B5">
              <w:rPr>
                <w:rFonts w:ascii="Montserrat" w:eastAsia="Times New Roman" w:hAnsi="Montserrat"/>
                <w:b/>
                <w:bCs/>
                <w:color w:val="FFFFFF"/>
                <w:sz w:val="16"/>
                <w:szCs w:val="16"/>
                <w:lang w:val="es-MX" w:eastAsia="es-MX"/>
              </w:rPr>
              <w:t>2022</w:t>
            </w:r>
          </w:p>
        </w:tc>
        <w:tc>
          <w:tcPr>
            <w:tcW w:w="2118" w:type="dxa"/>
            <w:tcBorders>
              <w:top w:val="nil"/>
              <w:left w:val="nil"/>
              <w:bottom w:val="double" w:sz="6" w:space="0" w:color="808080"/>
              <w:right w:val="single" w:sz="12" w:space="0" w:color="FFFFFF"/>
            </w:tcBorders>
            <w:shd w:val="clear" w:color="000000" w:fill="D4C19C"/>
            <w:vAlign w:val="center"/>
            <w:hideMark/>
          </w:tcPr>
          <w:p w14:paraId="5513DA8E" w14:textId="77777777" w:rsidR="00E653B5" w:rsidRPr="00E653B5" w:rsidRDefault="00E653B5" w:rsidP="00E653B5">
            <w:pPr>
              <w:spacing w:after="0" w:line="240" w:lineRule="auto"/>
              <w:jc w:val="center"/>
              <w:rPr>
                <w:rFonts w:ascii="Montserrat" w:eastAsia="Times New Roman" w:hAnsi="Montserrat"/>
                <w:b/>
                <w:bCs/>
                <w:color w:val="FFFFFF"/>
                <w:sz w:val="16"/>
                <w:szCs w:val="16"/>
                <w:lang w:val="es-MX" w:eastAsia="es-MX"/>
              </w:rPr>
            </w:pPr>
            <w:r w:rsidRPr="00E653B5">
              <w:rPr>
                <w:rFonts w:ascii="Montserrat" w:eastAsia="Times New Roman" w:hAnsi="Montserrat"/>
                <w:b/>
                <w:bCs/>
                <w:color w:val="FFFFFF"/>
                <w:sz w:val="16"/>
                <w:szCs w:val="16"/>
                <w:lang w:val="es-MX" w:eastAsia="es-MX"/>
              </w:rPr>
              <w:t>2021</w:t>
            </w:r>
          </w:p>
        </w:tc>
      </w:tr>
      <w:tr w:rsidR="00E653B5" w:rsidRPr="00E653B5" w14:paraId="562E7F76" w14:textId="77777777" w:rsidTr="00E4106E">
        <w:trPr>
          <w:trHeight w:val="292"/>
          <w:jc w:val="center"/>
        </w:trPr>
        <w:tc>
          <w:tcPr>
            <w:tcW w:w="6832" w:type="dxa"/>
            <w:tcBorders>
              <w:top w:val="nil"/>
              <w:left w:val="nil"/>
              <w:bottom w:val="nil"/>
              <w:right w:val="nil"/>
            </w:tcBorders>
            <w:shd w:val="clear" w:color="000000" w:fill="F2F2F2"/>
            <w:vAlign w:val="center"/>
            <w:hideMark/>
          </w:tcPr>
          <w:p w14:paraId="23CB98EF"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 xml:space="preserve">Servicios Profesionales, Científicos y Técnicos y Otros Servicios </w:t>
            </w:r>
            <w:r w:rsidRPr="00E653B5">
              <w:rPr>
                <w:rFonts w:ascii="Montserrat" w:eastAsia="Times New Roman" w:hAnsi="Montserrat"/>
                <w:b/>
                <w:bCs/>
                <w:color w:val="000000"/>
                <w:sz w:val="15"/>
                <w:szCs w:val="15"/>
                <w:lang w:val="es-MX" w:eastAsia="es-MX"/>
              </w:rPr>
              <w:t>(4.3.a)</w:t>
            </w:r>
          </w:p>
        </w:tc>
        <w:tc>
          <w:tcPr>
            <w:tcW w:w="2168" w:type="dxa"/>
            <w:tcBorders>
              <w:top w:val="nil"/>
              <w:left w:val="nil"/>
              <w:bottom w:val="nil"/>
              <w:right w:val="nil"/>
            </w:tcBorders>
            <w:shd w:val="clear" w:color="000000" w:fill="F2F2F2"/>
            <w:vAlign w:val="center"/>
            <w:hideMark/>
          </w:tcPr>
          <w:p w14:paraId="54B6C67D"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26,064,689,212.3</w:t>
            </w:r>
          </w:p>
        </w:tc>
        <w:tc>
          <w:tcPr>
            <w:tcW w:w="2118" w:type="dxa"/>
            <w:tcBorders>
              <w:top w:val="nil"/>
              <w:left w:val="nil"/>
              <w:bottom w:val="nil"/>
              <w:right w:val="nil"/>
            </w:tcBorders>
            <w:shd w:val="clear" w:color="000000" w:fill="F2F2F2"/>
            <w:vAlign w:val="center"/>
            <w:hideMark/>
          </w:tcPr>
          <w:p w14:paraId="02E9960F"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16,696,969,872.7</w:t>
            </w:r>
          </w:p>
        </w:tc>
      </w:tr>
      <w:tr w:rsidR="00E653B5" w:rsidRPr="00E653B5" w14:paraId="3C220D35" w14:textId="77777777" w:rsidTr="00E4106E">
        <w:trPr>
          <w:trHeight w:val="279"/>
          <w:jc w:val="center"/>
        </w:trPr>
        <w:tc>
          <w:tcPr>
            <w:tcW w:w="6832" w:type="dxa"/>
            <w:tcBorders>
              <w:top w:val="nil"/>
              <w:left w:val="nil"/>
              <w:bottom w:val="nil"/>
              <w:right w:val="nil"/>
            </w:tcBorders>
            <w:shd w:val="clear" w:color="000000" w:fill="F2F2F2"/>
            <w:vAlign w:val="center"/>
            <w:hideMark/>
          </w:tcPr>
          <w:p w14:paraId="50DCACAF"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Básicos</w:t>
            </w:r>
          </w:p>
        </w:tc>
        <w:tc>
          <w:tcPr>
            <w:tcW w:w="2168" w:type="dxa"/>
            <w:tcBorders>
              <w:top w:val="nil"/>
              <w:left w:val="nil"/>
              <w:bottom w:val="nil"/>
              <w:right w:val="nil"/>
            </w:tcBorders>
            <w:shd w:val="clear" w:color="000000" w:fill="F2F2F2"/>
            <w:vAlign w:val="center"/>
            <w:hideMark/>
          </w:tcPr>
          <w:p w14:paraId="3CD985BF"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3,470,341,490.1</w:t>
            </w:r>
          </w:p>
        </w:tc>
        <w:tc>
          <w:tcPr>
            <w:tcW w:w="2118" w:type="dxa"/>
            <w:tcBorders>
              <w:top w:val="nil"/>
              <w:left w:val="nil"/>
              <w:bottom w:val="nil"/>
              <w:right w:val="nil"/>
            </w:tcBorders>
            <w:shd w:val="clear" w:color="000000" w:fill="F2F2F2"/>
            <w:vAlign w:val="center"/>
            <w:hideMark/>
          </w:tcPr>
          <w:p w14:paraId="7FECD7DC"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3,757,951,946.0</w:t>
            </w:r>
          </w:p>
        </w:tc>
      </w:tr>
      <w:tr w:rsidR="00E653B5" w:rsidRPr="00E653B5" w14:paraId="5635612C" w14:textId="77777777" w:rsidTr="00E4106E">
        <w:trPr>
          <w:trHeight w:val="279"/>
          <w:jc w:val="center"/>
        </w:trPr>
        <w:tc>
          <w:tcPr>
            <w:tcW w:w="6832" w:type="dxa"/>
            <w:tcBorders>
              <w:top w:val="nil"/>
              <w:left w:val="nil"/>
              <w:bottom w:val="nil"/>
              <w:right w:val="nil"/>
            </w:tcBorders>
            <w:shd w:val="clear" w:color="000000" w:fill="F2F2F2"/>
            <w:vAlign w:val="center"/>
            <w:hideMark/>
          </w:tcPr>
          <w:p w14:paraId="01616E85"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Otros Servicios Generales</w:t>
            </w:r>
          </w:p>
        </w:tc>
        <w:tc>
          <w:tcPr>
            <w:tcW w:w="2168" w:type="dxa"/>
            <w:tcBorders>
              <w:top w:val="nil"/>
              <w:left w:val="nil"/>
              <w:bottom w:val="nil"/>
              <w:right w:val="nil"/>
            </w:tcBorders>
            <w:shd w:val="clear" w:color="000000" w:fill="F2F2F2"/>
            <w:vAlign w:val="center"/>
            <w:hideMark/>
          </w:tcPr>
          <w:p w14:paraId="11D983A4"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2,595,725,859.9</w:t>
            </w:r>
          </w:p>
        </w:tc>
        <w:tc>
          <w:tcPr>
            <w:tcW w:w="2118" w:type="dxa"/>
            <w:tcBorders>
              <w:top w:val="nil"/>
              <w:left w:val="nil"/>
              <w:bottom w:val="nil"/>
              <w:right w:val="nil"/>
            </w:tcBorders>
            <w:shd w:val="clear" w:color="000000" w:fill="F2F2F2"/>
            <w:vAlign w:val="center"/>
            <w:hideMark/>
          </w:tcPr>
          <w:p w14:paraId="609BDB35"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1,736,345,123.9</w:t>
            </w:r>
          </w:p>
        </w:tc>
      </w:tr>
      <w:tr w:rsidR="00E653B5" w:rsidRPr="00E653B5" w14:paraId="38DBDC90" w14:textId="77777777" w:rsidTr="00E4106E">
        <w:trPr>
          <w:trHeight w:val="279"/>
          <w:jc w:val="center"/>
        </w:trPr>
        <w:tc>
          <w:tcPr>
            <w:tcW w:w="6832" w:type="dxa"/>
            <w:tcBorders>
              <w:top w:val="nil"/>
              <w:left w:val="nil"/>
              <w:bottom w:val="nil"/>
              <w:right w:val="nil"/>
            </w:tcBorders>
            <w:shd w:val="clear" w:color="000000" w:fill="F2F2F2"/>
            <w:vAlign w:val="center"/>
            <w:hideMark/>
          </w:tcPr>
          <w:p w14:paraId="58DDC021"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de Instalación, Reparación, Mantenimiento y Conservación</w:t>
            </w:r>
          </w:p>
        </w:tc>
        <w:tc>
          <w:tcPr>
            <w:tcW w:w="2168" w:type="dxa"/>
            <w:tcBorders>
              <w:top w:val="nil"/>
              <w:left w:val="nil"/>
              <w:bottom w:val="nil"/>
              <w:right w:val="nil"/>
            </w:tcBorders>
            <w:shd w:val="clear" w:color="000000" w:fill="F2F2F2"/>
            <w:vAlign w:val="center"/>
            <w:hideMark/>
          </w:tcPr>
          <w:p w14:paraId="4E20A873"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4,073,816,439.0</w:t>
            </w:r>
          </w:p>
        </w:tc>
        <w:tc>
          <w:tcPr>
            <w:tcW w:w="2118" w:type="dxa"/>
            <w:tcBorders>
              <w:top w:val="nil"/>
              <w:left w:val="nil"/>
              <w:bottom w:val="nil"/>
              <w:right w:val="nil"/>
            </w:tcBorders>
            <w:shd w:val="clear" w:color="000000" w:fill="F2F2F2"/>
            <w:vAlign w:val="center"/>
            <w:hideMark/>
          </w:tcPr>
          <w:p w14:paraId="55EB2449"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3,095,259,726.8</w:t>
            </w:r>
          </w:p>
        </w:tc>
      </w:tr>
      <w:tr w:rsidR="00E653B5" w:rsidRPr="00E653B5" w14:paraId="7CB7AAF3" w14:textId="77777777" w:rsidTr="00E4106E">
        <w:trPr>
          <w:trHeight w:val="279"/>
          <w:jc w:val="center"/>
        </w:trPr>
        <w:tc>
          <w:tcPr>
            <w:tcW w:w="6832" w:type="dxa"/>
            <w:tcBorders>
              <w:top w:val="nil"/>
              <w:left w:val="nil"/>
              <w:bottom w:val="nil"/>
              <w:right w:val="nil"/>
            </w:tcBorders>
            <w:shd w:val="clear" w:color="000000" w:fill="F2F2F2"/>
            <w:vAlign w:val="center"/>
            <w:hideMark/>
          </w:tcPr>
          <w:p w14:paraId="65A94432"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de Arrendamiento</w:t>
            </w:r>
          </w:p>
        </w:tc>
        <w:tc>
          <w:tcPr>
            <w:tcW w:w="2168" w:type="dxa"/>
            <w:tcBorders>
              <w:top w:val="nil"/>
              <w:left w:val="nil"/>
              <w:bottom w:val="nil"/>
              <w:right w:val="nil"/>
            </w:tcBorders>
            <w:shd w:val="clear" w:color="000000" w:fill="F2F2F2"/>
            <w:vAlign w:val="center"/>
            <w:hideMark/>
          </w:tcPr>
          <w:p w14:paraId="29AA21BC"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1,392,669,247.3</w:t>
            </w:r>
          </w:p>
        </w:tc>
        <w:tc>
          <w:tcPr>
            <w:tcW w:w="2118" w:type="dxa"/>
            <w:tcBorders>
              <w:top w:val="nil"/>
              <w:left w:val="nil"/>
              <w:bottom w:val="nil"/>
              <w:right w:val="nil"/>
            </w:tcBorders>
            <w:shd w:val="clear" w:color="000000" w:fill="F2F2F2"/>
            <w:vAlign w:val="center"/>
            <w:hideMark/>
          </w:tcPr>
          <w:p w14:paraId="7EDCEE87"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1,308,216,430.6</w:t>
            </w:r>
          </w:p>
        </w:tc>
      </w:tr>
      <w:tr w:rsidR="00E653B5" w:rsidRPr="00E653B5" w14:paraId="4EC86B3B" w14:textId="77777777" w:rsidTr="00E4106E">
        <w:trPr>
          <w:trHeight w:val="279"/>
          <w:jc w:val="center"/>
        </w:trPr>
        <w:tc>
          <w:tcPr>
            <w:tcW w:w="6832" w:type="dxa"/>
            <w:tcBorders>
              <w:top w:val="nil"/>
              <w:left w:val="nil"/>
              <w:bottom w:val="nil"/>
              <w:right w:val="nil"/>
            </w:tcBorders>
            <w:shd w:val="clear" w:color="000000" w:fill="F2F2F2"/>
            <w:vAlign w:val="center"/>
            <w:hideMark/>
          </w:tcPr>
          <w:p w14:paraId="2D261A80"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Financieros, Bancarios y Comerciales</w:t>
            </w:r>
          </w:p>
        </w:tc>
        <w:tc>
          <w:tcPr>
            <w:tcW w:w="2168" w:type="dxa"/>
            <w:tcBorders>
              <w:top w:val="nil"/>
              <w:left w:val="nil"/>
              <w:bottom w:val="nil"/>
              <w:right w:val="nil"/>
            </w:tcBorders>
            <w:shd w:val="clear" w:color="000000" w:fill="F2F2F2"/>
            <w:vAlign w:val="center"/>
            <w:hideMark/>
          </w:tcPr>
          <w:p w14:paraId="29D35B78"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981,656,527.0</w:t>
            </w:r>
          </w:p>
        </w:tc>
        <w:tc>
          <w:tcPr>
            <w:tcW w:w="2118" w:type="dxa"/>
            <w:tcBorders>
              <w:top w:val="nil"/>
              <w:left w:val="nil"/>
              <w:bottom w:val="nil"/>
              <w:right w:val="nil"/>
            </w:tcBorders>
            <w:shd w:val="clear" w:color="000000" w:fill="F2F2F2"/>
            <w:vAlign w:val="center"/>
            <w:hideMark/>
          </w:tcPr>
          <w:p w14:paraId="2C68E290"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836,141,197.8</w:t>
            </w:r>
          </w:p>
        </w:tc>
      </w:tr>
      <w:tr w:rsidR="00E653B5" w:rsidRPr="00E653B5" w14:paraId="62B14AF9" w14:textId="77777777" w:rsidTr="00E4106E">
        <w:trPr>
          <w:trHeight w:val="279"/>
          <w:jc w:val="center"/>
        </w:trPr>
        <w:tc>
          <w:tcPr>
            <w:tcW w:w="6832" w:type="dxa"/>
            <w:tcBorders>
              <w:top w:val="nil"/>
              <w:left w:val="nil"/>
              <w:bottom w:val="nil"/>
              <w:right w:val="nil"/>
            </w:tcBorders>
            <w:shd w:val="clear" w:color="000000" w:fill="F2F2F2"/>
            <w:vAlign w:val="center"/>
            <w:hideMark/>
          </w:tcPr>
          <w:p w14:paraId="79C683C2"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de Traslado y Viáticos</w:t>
            </w:r>
          </w:p>
        </w:tc>
        <w:tc>
          <w:tcPr>
            <w:tcW w:w="2168" w:type="dxa"/>
            <w:tcBorders>
              <w:top w:val="nil"/>
              <w:left w:val="nil"/>
              <w:bottom w:val="nil"/>
              <w:right w:val="nil"/>
            </w:tcBorders>
            <w:shd w:val="clear" w:color="000000" w:fill="F2F2F2"/>
            <w:vAlign w:val="center"/>
            <w:hideMark/>
          </w:tcPr>
          <w:p w14:paraId="4FB994B3"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536,404,654.0</w:t>
            </w:r>
          </w:p>
        </w:tc>
        <w:tc>
          <w:tcPr>
            <w:tcW w:w="2118" w:type="dxa"/>
            <w:tcBorders>
              <w:top w:val="nil"/>
              <w:left w:val="nil"/>
              <w:bottom w:val="nil"/>
              <w:right w:val="nil"/>
            </w:tcBorders>
            <w:shd w:val="clear" w:color="000000" w:fill="F2F2F2"/>
            <w:vAlign w:val="center"/>
            <w:hideMark/>
          </w:tcPr>
          <w:p w14:paraId="1D8A6E2C"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428,123,480.9</w:t>
            </w:r>
          </w:p>
        </w:tc>
      </w:tr>
      <w:tr w:rsidR="00E653B5" w:rsidRPr="00E653B5" w14:paraId="47EC11E5" w14:textId="77777777" w:rsidTr="00E4106E">
        <w:trPr>
          <w:trHeight w:val="279"/>
          <w:jc w:val="center"/>
        </w:trPr>
        <w:tc>
          <w:tcPr>
            <w:tcW w:w="6832" w:type="dxa"/>
            <w:tcBorders>
              <w:top w:val="nil"/>
              <w:left w:val="nil"/>
              <w:bottom w:val="nil"/>
              <w:right w:val="nil"/>
            </w:tcBorders>
            <w:shd w:val="clear" w:color="000000" w:fill="F2F2F2"/>
            <w:vAlign w:val="center"/>
            <w:hideMark/>
          </w:tcPr>
          <w:p w14:paraId="46962D1D"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Oficiales</w:t>
            </w:r>
          </w:p>
        </w:tc>
        <w:tc>
          <w:tcPr>
            <w:tcW w:w="2168" w:type="dxa"/>
            <w:tcBorders>
              <w:top w:val="nil"/>
              <w:left w:val="nil"/>
              <w:bottom w:val="nil"/>
              <w:right w:val="nil"/>
            </w:tcBorders>
            <w:shd w:val="clear" w:color="000000" w:fill="F2F2F2"/>
            <w:vAlign w:val="center"/>
            <w:hideMark/>
          </w:tcPr>
          <w:p w14:paraId="0A4D98A4"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8,321,428.6</w:t>
            </w:r>
          </w:p>
        </w:tc>
        <w:tc>
          <w:tcPr>
            <w:tcW w:w="2118" w:type="dxa"/>
            <w:tcBorders>
              <w:top w:val="nil"/>
              <w:left w:val="nil"/>
              <w:bottom w:val="nil"/>
              <w:right w:val="nil"/>
            </w:tcBorders>
            <w:shd w:val="clear" w:color="000000" w:fill="F2F2F2"/>
            <w:vAlign w:val="center"/>
            <w:hideMark/>
          </w:tcPr>
          <w:p w14:paraId="5DE57CA8"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12,312,658.1</w:t>
            </w:r>
          </w:p>
        </w:tc>
      </w:tr>
      <w:tr w:rsidR="00E653B5" w:rsidRPr="00E653B5" w14:paraId="30DC8009" w14:textId="77777777" w:rsidTr="00E4106E">
        <w:trPr>
          <w:trHeight w:val="279"/>
          <w:jc w:val="center"/>
        </w:trPr>
        <w:tc>
          <w:tcPr>
            <w:tcW w:w="6832" w:type="dxa"/>
            <w:tcBorders>
              <w:top w:val="nil"/>
              <w:left w:val="nil"/>
              <w:bottom w:val="nil"/>
              <w:right w:val="nil"/>
            </w:tcBorders>
            <w:shd w:val="clear" w:color="000000" w:fill="F2F2F2"/>
            <w:vAlign w:val="center"/>
            <w:hideMark/>
          </w:tcPr>
          <w:p w14:paraId="4677685D" w14:textId="77777777" w:rsidR="00E653B5" w:rsidRPr="00E653B5" w:rsidRDefault="00E653B5" w:rsidP="00E653B5">
            <w:pPr>
              <w:spacing w:after="0" w:line="240" w:lineRule="auto"/>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Servicios de Comunicación Social y Publicidad</w:t>
            </w:r>
          </w:p>
        </w:tc>
        <w:tc>
          <w:tcPr>
            <w:tcW w:w="2168" w:type="dxa"/>
            <w:tcBorders>
              <w:top w:val="nil"/>
              <w:left w:val="nil"/>
              <w:bottom w:val="nil"/>
              <w:right w:val="nil"/>
            </w:tcBorders>
            <w:shd w:val="clear" w:color="000000" w:fill="F2F2F2"/>
            <w:vAlign w:val="center"/>
            <w:hideMark/>
          </w:tcPr>
          <w:p w14:paraId="6DEBA062"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63,084,961.1</w:t>
            </w:r>
          </w:p>
        </w:tc>
        <w:tc>
          <w:tcPr>
            <w:tcW w:w="2118" w:type="dxa"/>
            <w:tcBorders>
              <w:top w:val="nil"/>
              <w:left w:val="nil"/>
              <w:bottom w:val="nil"/>
              <w:right w:val="nil"/>
            </w:tcBorders>
            <w:shd w:val="clear" w:color="000000" w:fill="F2F2F2"/>
            <w:vAlign w:val="center"/>
            <w:hideMark/>
          </w:tcPr>
          <w:p w14:paraId="0374BF53" w14:textId="77777777" w:rsidR="00E653B5" w:rsidRPr="00E653B5" w:rsidRDefault="00E653B5" w:rsidP="00E653B5">
            <w:pPr>
              <w:spacing w:after="0" w:line="240" w:lineRule="auto"/>
              <w:jc w:val="right"/>
              <w:rPr>
                <w:rFonts w:ascii="Montserrat" w:eastAsia="Times New Roman" w:hAnsi="Montserrat"/>
                <w:color w:val="000000"/>
                <w:sz w:val="15"/>
                <w:szCs w:val="15"/>
                <w:lang w:val="es-MX" w:eastAsia="es-MX"/>
              </w:rPr>
            </w:pPr>
            <w:r w:rsidRPr="00E653B5">
              <w:rPr>
                <w:rFonts w:ascii="Montserrat" w:eastAsia="Times New Roman" w:hAnsi="Montserrat"/>
                <w:color w:val="000000"/>
                <w:sz w:val="15"/>
                <w:szCs w:val="15"/>
                <w:lang w:val="es-MX" w:eastAsia="es-MX"/>
              </w:rPr>
              <w:t>145,746,895.9</w:t>
            </w:r>
          </w:p>
        </w:tc>
      </w:tr>
      <w:tr w:rsidR="00E653B5" w:rsidRPr="00E653B5" w14:paraId="33DEF6AB" w14:textId="77777777" w:rsidTr="00E4106E">
        <w:trPr>
          <w:trHeight w:val="292"/>
          <w:jc w:val="center"/>
        </w:trPr>
        <w:tc>
          <w:tcPr>
            <w:tcW w:w="6832" w:type="dxa"/>
            <w:tcBorders>
              <w:top w:val="nil"/>
              <w:left w:val="nil"/>
              <w:bottom w:val="single" w:sz="12" w:space="0" w:color="808080"/>
              <w:right w:val="nil"/>
            </w:tcBorders>
            <w:shd w:val="clear" w:color="000000" w:fill="F2F2F2"/>
            <w:vAlign w:val="center"/>
            <w:hideMark/>
          </w:tcPr>
          <w:p w14:paraId="1628AB8B" w14:textId="77777777" w:rsidR="00E653B5" w:rsidRPr="00E653B5" w:rsidRDefault="00E653B5" w:rsidP="00E653B5">
            <w:pPr>
              <w:spacing w:after="0" w:line="240" w:lineRule="auto"/>
              <w:rPr>
                <w:rFonts w:ascii="Montserrat" w:eastAsia="Times New Roman" w:hAnsi="Montserrat"/>
                <w:b/>
                <w:bCs/>
                <w:color w:val="000000"/>
                <w:sz w:val="15"/>
                <w:szCs w:val="15"/>
                <w:lang w:val="es-MX" w:eastAsia="es-MX"/>
              </w:rPr>
            </w:pPr>
            <w:r w:rsidRPr="00E653B5">
              <w:rPr>
                <w:rFonts w:ascii="Montserrat" w:eastAsia="Times New Roman" w:hAnsi="Montserrat"/>
                <w:b/>
                <w:bCs/>
                <w:color w:val="000000"/>
                <w:sz w:val="15"/>
                <w:szCs w:val="15"/>
                <w:lang w:val="es-MX" w:eastAsia="es-MX"/>
              </w:rPr>
              <w:t>Total Servicios Generales</w:t>
            </w:r>
          </w:p>
        </w:tc>
        <w:tc>
          <w:tcPr>
            <w:tcW w:w="2168" w:type="dxa"/>
            <w:tcBorders>
              <w:top w:val="nil"/>
              <w:left w:val="nil"/>
              <w:bottom w:val="single" w:sz="12" w:space="0" w:color="808080"/>
              <w:right w:val="nil"/>
            </w:tcBorders>
            <w:shd w:val="clear" w:color="000000" w:fill="F2F2F2"/>
            <w:vAlign w:val="center"/>
            <w:hideMark/>
          </w:tcPr>
          <w:p w14:paraId="3149B7E8" w14:textId="77777777" w:rsidR="00E653B5" w:rsidRPr="00E653B5" w:rsidRDefault="00E653B5" w:rsidP="00E653B5">
            <w:pPr>
              <w:spacing w:after="0" w:line="240" w:lineRule="auto"/>
              <w:jc w:val="right"/>
              <w:rPr>
                <w:rFonts w:ascii="Montserrat" w:eastAsia="Times New Roman" w:hAnsi="Montserrat"/>
                <w:b/>
                <w:bCs/>
                <w:color w:val="000000"/>
                <w:sz w:val="15"/>
                <w:szCs w:val="15"/>
                <w:lang w:val="es-MX" w:eastAsia="es-MX"/>
              </w:rPr>
            </w:pPr>
            <w:r w:rsidRPr="00E653B5">
              <w:rPr>
                <w:rFonts w:ascii="Montserrat" w:eastAsia="Times New Roman" w:hAnsi="Montserrat"/>
                <w:b/>
                <w:bCs/>
                <w:color w:val="000000"/>
                <w:sz w:val="15"/>
                <w:szCs w:val="15"/>
                <w:lang w:val="es-MX" w:eastAsia="es-MX"/>
              </w:rPr>
              <w:t>39,186,709,819.3</w:t>
            </w:r>
          </w:p>
        </w:tc>
        <w:tc>
          <w:tcPr>
            <w:tcW w:w="2118" w:type="dxa"/>
            <w:tcBorders>
              <w:top w:val="nil"/>
              <w:left w:val="nil"/>
              <w:bottom w:val="single" w:sz="12" w:space="0" w:color="808080"/>
              <w:right w:val="nil"/>
            </w:tcBorders>
            <w:shd w:val="clear" w:color="000000" w:fill="F2F2F2"/>
            <w:vAlign w:val="center"/>
            <w:hideMark/>
          </w:tcPr>
          <w:p w14:paraId="742112E6" w14:textId="77777777" w:rsidR="00E653B5" w:rsidRPr="00E653B5" w:rsidRDefault="00E653B5" w:rsidP="00E653B5">
            <w:pPr>
              <w:spacing w:after="0" w:line="240" w:lineRule="auto"/>
              <w:jc w:val="right"/>
              <w:rPr>
                <w:rFonts w:ascii="Montserrat" w:eastAsia="Times New Roman" w:hAnsi="Montserrat"/>
                <w:b/>
                <w:bCs/>
                <w:color w:val="000000"/>
                <w:sz w:val="15"/>
                <w:szCs w:val="15"/>
                <w:lang w:val="es-MX" w:eastAsia="es-MX"/>
              </w:rPr>
            </w:pPr>
            <w:r w:rsidRPr="00E653B5">
              <w:rPr>
                <w:rFonts w:ascii="Montserrat" w:eastAsia="Times New Roman" w:hAnsi="Montserrat"/>
                <w:b/>
                <w:bCs/>
                <w:color w:val="000000"/>
                <w:sz w:val="15"/>
                <w:szCs w:val="15"/>
                <w:lang w:val="es-MX" w:eastAsia="es-MX"/>
              </w:rPr>
              <w:t>28,017,067,332.</w:t>
            </w:r>
            <w:r w:rsidR="00184289">
              <w:rPr>
                <w:rFonts w:ascii="Montserrat" w:eastAsia="Times New Roman" w:hAnsi="Montserrat"/>
                <w:b/>
                <w:bCs/>
                <w:color w:val="000000"/>
                <w:sz w:val="15"/>
                <w:szCs w:val="15"/>
                <w:lang w:val="es-MX" w:eastAsia="es-MX"/>
              </w:rPr>
              <w:t>7</w:t>
            </w:r>
          </w:p>
        </w:tc>
      </w:tr>
    </w:tbl>
    <w:p w14:paraId="0BA9D45E" w14:textId="77777777" w:rsidR="00E653B5" w:rsidRDefault="00E653B5" w:rsidP="00C16E7C">
      <w:pPr>
        <w:pStyle w:val="TEXTONORMAL"/>
      </w:pPr>
    </w:p>
    <w:p w14:paraId="0D44D040" w14:textId="77777777" w:rsidR="009D5C48" w:rsidRDefault="009D5C48" w:rsidP="003F2A12">
      <w:pPr>
        <w:pStyle w:val="TEXTONORMAL"/>
        <w:numPr>
          <w:ilvl w:val="0"/>
          <w:numId w:val="40"/>
        </w:numPr>
        <w:ind w:left="714" w:hanging="357"/>
        <w:rPr>
          <w:rFonts w:eastAsia="Times New Roman"/>
          <w:color w:val="000000"/>
          <w:lang w:eastAsia="es-MX"/>
        </w:rPr>
      </w:pPr>
      <w:r w:rsidRPr="00A45DC0">
        <w:rPr>
          <w:rFonts w:eastAsia="Times New Roman"/>
          <w:b/>
          <w:color w:val="000000"/>
          <w:lang w:eastAsia="es-MX"/>
        </w:rPr>
        <w:t xml:space="preserve">4.3.a) </w:t>
      </w:r>
      <w:r w:rsidRPr="00A45DC0">
        <w:rPr>
          <w:rFonts w:eastAsia="Times New Roman"/>
          <w:color w:val="000000"/>
          <w:lang w:eastAsia="es-MX"/>
        </w:rPr>
        <w:t>Al</w:t>
      </w:r>
      <w:r>
        <w:rPr>
          <w:rFonts w:eastAsia="Times New Roman"/>
          <w:color w:val="000000"/>
          <w:lang w:eastAsia="es-MX"/>
        </w:rPr>
        <w:t xml:space="preserve"> </w:t>
      </w:r>
      <w:r w:rsidR="00E75E1D">
        <w:t>30 de septiembre</w:t>
      </w:r>
      <w:r w:rsidR="005E77B6" w:rsidRPr="00C92890">
        <w:t xml:space="preserve"> de 2022 y 2021</w:t>
      </w:r>
      <w:r w:rsidRPr="00A45DC0">
        <w:rPr>
          <w:rFonts w:eastAsia="Times New Roman"/>
          <w:color w:val="000000"/>
          <w:lang w:eastAsia="es-MX"/>
        </w:rPr>
        <w:t>, los Servicios Profesionales, Científicos y Técnicos y Otros Servicios</w:t>
      </w:r>
      <w:r>
        <w:rPr>
          <w:rFonts w:eastAsia="Times New Roman"/>
          <w:color w:val="000000"/>
          <w:lang w:eastAsia="es-MX"/>
        </w:rPr>
        <w:t xml:space="preserve"> se integran como sigue:</w:t>
      </w:r>
    </w:p>
    <w:p w14:paraId="23F5E046" w14:textId="77777777" w:rsidR="00875E0C" w:rsidRDefault="00875E0C" w:rsidP="00C16E7C">
      <w:pPr>
        <w:pStyle w:val="TEXTONORMAL"/>
        <w:rPr>
          <w:rFonts w:eastAsia="Times New Roman"/>
          <w:color w:val="000000"/>
          <w:lang w:eastAsia="es-MX"/>
        </w:rPr>
      </w:pPr>
    </w:p>
    <w:tbl>
      <w:tblPr>
        <w:tblW w:w="11314" w:type="dxa"/>
        <w:jc w:val="center"/>
        <w:tblCellMar>
          <w:left w:w="70" w:type="dxa"/>
          <w:right w:w="70" w:type="dxa"/>
        </w:tblCellMar>
        <w:tblLook w:val="04A0" w:firstRow="1" w:lastRow="0" w:firstColumn="1" w:lastColumn="0" w:noHBand="0" w:noVBand="1"/>
      </w:tblPr>
      <w:tblGrid>
        <w:gridCol w:w="6952"/>
        <w:gridCol w:w="2206"/>
        <w:gridCol w:w="2156"/>
      </w:tblGrid>
      <w:tr w:rsidR="00CD2D40" w:rsidRPr="00CD2D40" w14:paraId="1039003E" w14:textId="77777777" w:rsidTr="00E4106E">
        <w:trPr>
          <w:trHeight w:val="323"/>
          <w:jc w:val="center"/>
        </w:trPr>
        <w:tc>
          <w:tcPr>
            <w:tcW w:w="695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AA999AC" w14:textId="77777777" w:rsidR="00CD2D40" w:rsidRPr="00CD2D40" w:rsidRDefault="00CD2D40" w:rsidP="00CD2D40">
            <w:pPr>
              <w:spacing w:after="0" w:line="240" w:lineRule="auto"/>
              <w:jc w:val="center"/>
              <w:rPr>
                <w:rFonts w:ascii="Montserrat" w:eastAsia="Times New Roman" w:hAnsi="Montserrat"/>
                <w:b/>
                <w:bCs/>
                <w:color w:val="FFFFFF"/>
                <w:sz w:val="16"/>
                <w:szCs w:val="16"/>
                <w:lang w:val="es-MX" w:eastAsia="es-MX"/>
              </w:rPr>
            </w:pPr>
            <w:r w:rsidRPr="00CD2D40">
              <w:rPr>
                <w:rFonts w:ascii="Montserrat" w:eastAsia="Times New Roman" w:hAnsi="Montserrat"/>
                <w:b/>
                <w:bCs/>
                <w:color w:val="FFFFFF"/>
                <w:sz w:val="16"/>
                <w:szCs w:val="16"/>
                <w:lang w:val="es-MX" w:eastAsia="es-MX"/>
              </w:rPr>
              <w:t>Concepto</w:t>
            </w:r>
          </w:p>
        </w:tc>
        <w:tc>
          <w:tcPr>
            <w:tcW w:w="436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77936D2" w14:textId="77777777" w:rsidR="00CD2D40" w:rsidRPr="00CD2D40" w:rsidRDefault="00CD2D40" w:rsidP="00CD2D40">
            <w:pPr>
              <w:spacing w:after="0" w:line="240" w:lineRule="auto"/>
              <w:jc w:val="center"/>
              <w:rPr>
                <w:rFonts w:ascii="Montserrat" w:eastAsia="Times New Roman" w:hAnsi="Montserrat"/>
                <w:b/>
                <w:bCs/>
                <w:color w:val="FFFFFF"/>
                <w:sz w:val="16"/>
                <w:szCs w:val="16"/>
                <w:lang w:val="es-MX" w:eastAsia="es-MX"/>
              </w:rPr>
            </w:pPr>
            <w:r w:rsidRPr="00CD2D40">
              <w:rPr>
                <w:rFonts w:ascii="Montserrat" w:eastAsia="Times New Roman" w:hAnsi="Montserrat"/>
                <w:b/>
                <w:bCs/>
                <w:color w:val="FFFFFF"/>
                <w:sz w:val="16"/>
                <w:szCs w:val="16"/>
                <w:lang w:val="es-MX" w:eastAsia="es-MX"/>
              </w:rPr>
              <w:t>Cifras en pesos</w:t>
            </w:r>
          </w:p>
        </w:tc>
      </w:tr>
      <w:tr w:rsidR="00CD2D40" w:rsidRPr="00CD2D40" w14:paraId="052280FA" w14:textId="77777777" w:rsidTr="00E4106E">
        <w:trPr>
          <w:trHeight w:val="323"/>
          <w:jc w:val="center"/>
        </w:trPr>
        <w:tc>
          <w:tcPr>
            <w:tcW w:w="6952" w:type="dxa"/>
            <w:vMerge/>
            <w:tcBorders>
              <w:top w:val="single" w:sz="12" w:space="0" w:color="808080"/>
              <w:left w:val="single" w:sz="12" w:space="0" w:color="FFFFFF"/>
              <w:bottom w:val="double" w:sz="6" w:space="0" w:color="808080"/>
              <w:right w:val="single" w:sz="12" w:space="0" w:color="FFFFFF"/>
            </w:tcBorders>
            <w:vAlign w:val="center"/>
            <w:hideMark/>
          </w:tcPr>
          <w:p w14:paraId="75CAF7DA" w14:textId="77777777" w:rsidR="00CD2D40" w:rsidRPr="00CD2D40" w:rsidRDefault="00CD2D40" w:rsidP="00CD2D40">
            <w:pPr>
              <w:spacing w:after="0" w:line="240" w:lineRule="auto"/>
              <w:rPr>
                <w:rFonts w:ascii="Montserrat" w:eastAsia="Times New Roman" w:hAnsi="Montserrat"/>
                <w:b/>
                <w:bCs/>
                <w:color w:val="FFFFFF"/>
                <w:sz w:val="16"/>
                <w:szCs w:val="16"/>
                <w:lang w:val="es-MX" w:eastAsia="es-MX"/>
              </w:rPr>
            </w:pPr>
          </w:p>
        </w:tc>
        <w:tc>
          <w:tcPr>
            <w:tcW w:w="2206" w:type="dxa"/>
            <w:tcBorders>
              <w:top w:val="nil"/>
              <w:left w:val="nil"/>
              <w:bottom w:val="double" w:sz="6" w:space="0" w:color="808080"/>
              <w:right w:val="single" w:sz="12" w:space="0" w:color="FFFFFF"/>
            </w:tcBorders>
            <w:shd w:val="clear" w:color="000000" w:fill="D4C19C"/>
            <w:vAlign w:val="center"/>
            <w:hideMark/>
          </w:tcPr>
          <w:p w14:paraId="06936248" w14:textId="77777777" w:rsidR="00CD2D40" w:rsidRPr="00CD2D40" w:rsidRDefault="00CD2D40" w:rsidP="00CD2D40">
            <w:pPr>
              <w:spacing w:after="0" w:line="240" w:lineRule="auto"/>
              <w:jc w:val="center"/>
              <w:rPr>
                <w:rFonts w:ascii="Montserrat" w:eastAsia="Times New Roman" w:hAnsi="Montserrat"/>
                <w:b/>
                <w:bCs/>
                <w:color w:val="FFFFFF"/>
                <w:sz w:val="16"/>
                <w:szCs w:val="16"/>
                <w:lang w:val="es-MX" w:eastAsia="es-MX"/>
              </w:rPr>
            </w:pPr>
            <w:r w:rsidRPr="00CD2D40">
              <w:rPr>
                <w:rFonts w:ascii="Montserrat" w:eastAsia="Times New Roman" w:hAnsi="Montserrat"/>
                <w:b/>
                <w:bCs/>
                <w:color w:val="FFFFFF"/>
                <w:sz w:val="16"/>
                <w:szCs w:val="16"/>
                <w:lang w:val="es-MX" w:eastAsia="es-MX"/>
              </w:rPr>
              <w:t>2022</w:t>
            </w:r>
          </w:p>
        </w:tc>
        <w:tc>
          <w:tcPr>
            <w:tcW w:w="2156" w:type="dxa"/>
            <w:tcBorders>
              <w:top w:val="nil"/>
              <w:left w:val="nil"/>
              <w:bottom w:val="double" w:sz="6" w:space="0" w:color="808080"/>
              <w:right w:val="single" w:sz="12" w:space="0" w:color="FFFFFF"/>
            </w:tcBorders>
            <w:shd w:val="clear" w:color="000000" w:fill="D4C19C"/>
            <w:vAlign w:val="center"/>
            <w:hideMark/>
          </w:tcPr>
          <w:p w14:paraId="5F2E0FD6" w14:textId="77777777" w:rsidR="00CD2D40" w:rsidRPr="00CD2D40" w:rsidRDefault="00CD2D40" w:rsidP="00CD2D40">
            <w:pPr>
              <w:spacing w:after="0" w:line="240" w:lineRule="auto"/>
              <w:jc w:val="center"/>
              <w:rPr>
                <w:rFonts w:ascii="Montserrat" w:eastAsia="Times New Roman" w:hAnsi="Montserrat"/>
                <w:b/>
                <w:bCs/>
                <w:color w:val="FFFFFF"/>
                <w:sz w:val="16"/>
                <w:szCs w:val="16"/>
                <w:lang w:val="es-MX" w:eastAsia="es-MX"/>
              </w:rPr>
            </w:pPr>
            <w:r w:rsidRPr="00CD2D40">
              <w:rPr>
                <w:rFonts w:ascii="Montserrat" w:eastAsia="Times New Roman" w:hAnsi="Montserrat"/>
                <w:b/>
                <w:bCs/>
                <w:color w:val="FFFFFF"/>
                <w:sz w:val="16"/>
                <w:szCs w:val="16"/>
                <w:lang w:val="es-MX" w:eastAsia="es-MX"/>
              </w:rPr>
              <w:t>2021</w:t>
            </w:r>
          </w:p>
        </w:tc>
      </w:tr>
      <w:tr w:rsidR="00CD2D40" w:rsidRPr="00CD2D40" w14:paraId="1CF39FCA" w14:textId="77777777" w:rsidTr="00E4106E">
        <w:trPr>
          <w:trHeight w:val="308"/>
          <w:jc w:val="center"/>
        </w:trPr>
        <w:tc>
          <w:tcPr>
            <w:tcW w:w="6952" w:type="dxa"/>
            <w:tcBorders>
              <w:top w:val="nil"/>
              <w:left w:val="nil"/>
              <w:bottom w:val="nil"/>
              <w:right w:val="nil"/>
            </w:tcBorders>
            <w:shd w:val="clear" w:color="000000" w:fill="F2F2F2"/>
            <w:vAlign w:val="center"/>
            <w:hideMark/>
          </w:tcPr>
          <w:p w14:paraId="17BAB071"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 xml:space="preserve">Servicios Médicos </w:t>
            </w:r>
          </w:p>
        </w:tc>
        <w:tc>
          <w:tcPr>
            <w:tcW w:w="2206" w:type="dxa"/>
            <w:tcBorders>
              <w:top w:val="nil"/>
              <w:left w:val="nil"/>
              <w:bottom w:val="nil"/>
              <w:right w:val="nil"/>
            </w:tcBorders>
            <w:shd w:val="clear" w:color="000000" w:fill="F2F2F2"/>
            <w:vAlign w:val="center"/>
            <w:hideMark/>
          </w:tcPr>
          <w:p w14:paraId="700FACAD" w14:textId="77777777" w:rsidR="00CD2D40" w:rsidRPr="00CD2D40" w:rsidRDefault="00CD2D40" w:rsidP="0043151F">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14,934,457,349.</w:t>
            </w:r>
            <w:r w:rsidR="0043151F">
              <w:rPr>
                <w:rFonts w:ascii="Montserrat" w:eastAsia="Times New Roman" w:hAnsi="Montserrat"/>
                <w:color w:val="000000"/>
                <w:sz w:val="15"/>
                <w:szCs w:val="15"/>
                <w:lang w:val="es-MX" w:eastAsia="es-MX"/>
              </w:rPr>
              <w:t>1</w:t>
            </w:r>
          </w:p>
        </w:tc>
        <w:tc>
          <w:tcPr>
            <w:tcW w:w="2156" w:type="dxa"/>
            <w:tcBorders>
              <w:top w:val="nil"/>
              <w:left w:val="nil"/>
              <w:bottom w:val="nil"/>
              <w:right w:val="nil"/>
            </w:tcBorders>
            <w:shd w:val="clear" w:color="000000" w:fill="F2F2F2"/>
            <w:vAlign w:val="center"/>
            <w:hideMark/>
          </w:tcPr>
          <w:p w14:paraId="24604995"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6,848,569,932.1</w:t>
            </w:r>
          </w:p>
        </w:tc>
      </w:tr>
      <w:tr w:rsidR="00CD2D40" w:rsidRPr="00CD2D40" w14:paraId="4A73D4B4" w14:textId="77777777" w:rsidTr="00E4106E">
        <w:trPr>
          <w:trHeight w:val="294"/>
          <w:jc w:val="center"/>
        </w:trPr>
        <w:tc>
          <w:tcPr>
            <w:tcW w:w="6952" w:type="dxa"/>
            <w:tcBorders>
              <w:top w:val="nil"/>
              <w:left w:val="nil"/>
              <w:bottom w:val="nil"/>
              <w:right w:val="nil"/>
            </w:tcBorders>
            <w:shd w:val="clear" w:color="000000" w:fill="F2F2F2"/>
            <w:vAlign w:val="center"/>
            <w:hideMark/>
          </w:tcPr>
          <w:p w14:paraId="4945C6DF"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Servicios de Guarderías de Prestación Indirecta</w:t>
            </w:r>
          </w:p>
        </w:tc>
        <w:tc>
          <w:tcPr>
            <w:tcW w:w="2206" w:type="dxa"/>
            <w:tcBorders>
              <w:top w:val="nil"/>
              <w:left w:val="nil"/>
              <w:bottom w:val="nil"/>
              <w:right w:val="nil"/>
            </w:tcBorders>
            <w:shd w:val="clear" w:color="000000" w:fill="F2F2F2"/>
            <w:vAlign w:val="center"/>
            <w:hideMark/>
          </w:tcPr>
          <w:p w14:paraId="14EB4596"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6,948,108,329.8</w:t>
            </w:r>
          </w:p>
        </w:tc>
        <w:tc>
          <w:tcPr>
            <w:tcW w:w="2156" w:type="dxa"/>
            <w:tcBorders>
              <w:top w:val="nil"/>
              <w:left w:val="nil"/>
              <w:bottom w:val="nil"/>
              <w:right w:val="nil"/>
            </w:tcBorders>
            <w:shd w:val="clear" w:color="000000" w:fill="F2F2F2"/>
            <w:vAlign w:val="center"/>
            <w:hideMark/>
          </w:tcPr>
          <w:p w14:paraId="20D9468A"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5,800,938,044.5</w:t>
            </w:r>
          </w:p>
        </w:tc>
      </w:tr>
      <w:tr w:rsidR="00CD2D40" w:rsidRPr="00CD2D40" w14:paraId="25A1C627" w14:textId="77777777" w:rsidTr="00E4106E">
        <w:trPr>
          <w:trHeight w:val="294"/>
          <w:jc w:val="center"/>
        </w:trPr>
        <w:tc>
          <w:tcPr>
            <w:tcW w:w="6952" w:type="dxa"/>
            <w:tcBorders>
              <w:top w:val="nil"/>
              <w:left w:val="nil"/>
              <w:bottom w:val="nil"/>
              <w:right w:val="nil"/>
            </w:tcBorders>
            <w:shd w:val="clear" w:color="000000" w:fill="F2F2F2"/>
            <w:vAlign w:val="center"/>
            <w:hideMark/>
          </w:tcPr>
          <w:p w14:paraId="58B3DC8C"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Servicios Profesionales y Técnicos</w:t>
            </w:r>
          </w:p>
        </w:tc>
        <w:tc>
          <w:tcPr>
            <w:tcW w:w="2206" w:type="dxa"/>
            <w:tcBorders>
              <w:top w:val="nil"/>
              <w:left w:val="nil"/>
              <w:bottom w:val="nil"/>
              <w:right w:val="nil"/>
            </w:tcBorders>
            <w:shd w:val="clear" w:color="000000" w:fill="F2F2F2"/>
            <w:vAlign w:val="center"/>
            <w:hideMark/>
          </w:tcPr>
          <w:p w14:paraId="0720DAED"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2,016,252,710.3</w:t>
            </w:r>
          </w:p>
        </w:tc>
        <w:tc>
          <w:tcPr>
            <w:tcW w:w="2156" w:type="dxa"/>
            <w:tcBorders>
              <w:top w:val="nil"/>
              <w:left w:val="nil"/>
              <w:bottom w:val="nil"/>
              <w:right w:val="nil"/>
            </w:tcBorders>
            <w:shd w:val="clear" w:color="000000" w:fill="F2F2F2"/>
            <w:vAlign w:val="center"/>
            <w:hideMark/>
          </w:tcPr>
          <w:p w14:paraId="127B7770"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2,353,717,741.5</w:t>
            </w:r>
          </w:p>
        </w:tc>
      </w:tr>
      <w:tr w:rsidR="00CD2D40" w:rsidRPr="00CD2D40" w14:paraId="01F4FFCA" w14:textId="77777777" w:rsidTr="00E4106E">
        <w:trPr>
          <w:trHeight w:val="294"/>
          <w:jc w:val="center"/>
        </w:trPr>
        <w:tc>
          <w:tcPr>
            <w:tcW w:w="6952" w:type="dxa"/>
            <w:tcBorders>
              <w:top w:val="nil"/>
              <w:left w:val="nil"/>
              <w:bottom w:val="nil"/>
              <w:right w:val="nil"/>
            </w:tcBorders>
            <w:shd w:val="clear" w:color="000000" w:fill="F2F2F2"/>
            <w:vAlign w:val="center"/>
            <w:hideMark/>
          </w:tcPr>
          <w:p w14:paraId="4A3B7E10"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Servicios Derivados de Contratos de Asociación Público-Privada</w:t>
            </w:r>
          </w:p>
        </w:tc>
        <w:tc>
          <w:tcPr>
            <w:tcW w:w="2206" w:type="dxa"/>
            <w:tcBorders>
              <w:top w:val="nil"/>
              <w:left w:val="nil"/>
              <w:bottom w:val="nil"/>
              <w:right w:val="nil"/>
            </w:tcBorders>
            <w:shd w:val="clear" w:color="000000" w:fill="F2F2F2"/>
            <w:vAlign w:val="center"/>
            <w:hideMark/>
          </w:tcPr>
          <w:p w14:paraId="676018FB"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638,384,738.1</w:t>
            </w:r>
          </w:p>
        </w:tc>
        <w:tc>
          <w:tcPr>
            <w:tcW w:w="2156" w:type="dxa"/>
            <w:tcBorders>
              <w:top w:val="nil"/>
              <w:left w:val="nil"/>
              <w:bottom w:val="nil"/>
              <w:right w:val="nil"/>
            </w:tcBorders>
            <w:shd w:val="clear" w:color="000000" w:fill="F2F2F2"/>
            <w:vAlign w:val="center"/>
            <w:hideMark/>
          </w:tcPr>
          <w:p w14:paraId="6CAB47F9"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583,390,968.7</w:t>
            </w:r>
          </w:p>
        </w:tc>
      </w:tr>
      <w:tr w:rsidR="00CD2D40" w:rsidRPr="00CD2D40" w14:paraId="5E36B5E7" w14:textId="77777777" w:rsidTr="00E4106E">
        <w:trPr>
          <w:trHeight w:val="294"/>
          <w:jc w:val="center"/>
        </w:trPr>
        <w:tc>
          <w:tcPr>
            <w:tcW w:w="6952" w:type="dxa"/>
            <w:tcBorders>
              <w:top w:val="nil"/>
              <w:left w:val="nil"/>
              <w:bottom w:val="nil"/>
              <w:right w:val="nil"/>
            </w:tcBorders>
            <w:shd w:val="clear" w:color="000000" w:fill="F2F2F2"/>
            <w:vAlign w:val="center"/>
            <w:hideMark/>
          </w:tcPr>
          <w:p w14:paraId="2F05A440"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 xml:space="preserve">Servicios de Vigilancia </w:t>
            </w:r>
          </w:p>
        </w:tc>
        <w:tc>
          <w:tcPr>
            <w:tcW w:w="2206" w:type="dxa"/>
            <w:tcBorders>
              <w:top w:val="nil"/>
              <w:left w:val="nil"/>
              <w:bottom w:val="nil"/>
              <w:right w:val="nil"/>
            </w:tcBorders>
            <w:shd w:val="clear" w:color="000000" w:fill="F2F2F2"/>
            <w:vAlign w:val="center"/>
            <w:hideMark/>
          </w:tcPr>
          <w:p w14:paraId="067B0A1E"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1,496,156,166.1</w:t>
            </w:r>
          </w:p>
        </w:tc>
        <w:tc>
          <w:tcPr>
            <w:tcW w:w="2156" w:type="dxa"/>
            <w:tcBorders>
              <w:top w:val="nil"/>
              <w:left w:val="nil"/>
              <w:bottom w:val="nil"/>
              <w:right w:val="nil"/>
            </w:tcBorders>
            <w:shd w:val="clear" w:color="000000" w:fill="F2F2F2"/>
            <w:vAlign w:val="center"/>
            <w:hideMark/>
          </w:tcPr>
          <w:p w14:paraId="393FC35E" w14:textId="77777777" w:rsidR="00CD2D40" w:rsidRPr="00CD2D40" w:rsidRDefault="00CD2D40" w:rsidP="0043151F">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1,080,818,904.</w:t>
            </w:r>
            <w:r w:rsidR="0043151F">
              <w:rPr>
                <w:rFonts w:ascii="Montserrat" w:eastAsia="Times New Roman" w:hAnsi="Montserrat"/>
                <w:color w:val="000000"/>
                <w:sz w:val="15"/>
                <w:szCs w:val="15"/>
                <w:lang w:val="es-MX" w:eastAsia="es-MX"/>
              </w:rPr>
              <w:t>3</w:t>
            </w:r>
          </w:p>
        </w:tc>
      </w:tr>
      <w:tr w:rsidR="00CD2D40" w:rsidRPr="00CD2D40" w14:paraId="43FF9E10" w14:textId="77777777" w:rsidTr="00E4106E">
        <w:trPr>
          <w:trHeight w:val="294"/>
          <w:jc w:val="center"/>
        </w:trPr>
        <w:tc>
          <w:tcPr>
            <w:tcW w:w="6952" w:type="dxa"/>
            <w:tcBorders>
              <w:top w:val="nil"/>
              <w:left w:val="nil"/>
              <w:bottom w:val="nil"/>
              <w:right w:val="nil"/>
            </w:tcBorders>
            <w:shd w:val="clear" w:color="000000" w:fill="F2F2F2"/>
            <w:vAlign w:val="center"/>
            <w:hideMark/>
          </w:tcPr>
          <w:p w14:paraId="73ED4711" w14:textId="77777777" w:rsidR="00CD2D40" w:rsidRPr="00CD2D40" w:rsidRDefault="00CD2D40" w:rsidP="00CD2D40">
            <w:pPr>
              <w:spacing w:after="0" w:line="240" w:lineRule="auto"/>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Servicios Funerarios</w:t>
            </w:r>
          </w:p>
        </w:tc>
        <w:tc>
          <w:tcPr>
            <w:tcW w:w="2206" w:type="dxa"/>
            <w:tcBorders>
              <w:top w:val="nil"/>
              <w:left w:val="nil"/>
              <w:bottom w:val="nil"/>
              <w:right w:val="nil"/>
            </w:tcBorders>
            <w:shd w:val="clear" w:color="000000" w:fill="F2F2F2"/>
            <w:vAlign w:val="center"/>
            <w:hideMark/>
          </w:tcPr>
          <w:p w14:paraId="70CC4372"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31,329,918.9</w:t>
            </w:r>
          </w:p>
        </w:tc>
        <w:tc>
          <w:tcPr>
            <w:tcW w:w="2156" w:type="dxa"/>
            <w:tcBorders>
              <w:top w:val="nil"/>
              <w:left w:val="nil"/>
              <w:bottom w:val="nil"/>
              <w:right w:val="nil"/>
            </w:tcBorders>
            <w:shd w:val="clear" w:color="000000" w:fill="F2F2F2"/>
            <w:vAlign w:val="center"/>
            <w:hideMark/>
          </w:tcPr>
          <w:p w14:paraId="67445862" w14:textId="77777777" w:rsidR="00CD2D40" w:rsidRPr="00CD2D40" w:rsidRDefault="00CD2D40" w:rsidP="00CD2D40">
            <w:pPr>
              <w:spacing w:after="0" w:line="240" w:lineRule="auto"/>
              <w:jc w:val="right"/>
              <w:rPr>
                <w:rFonts w:ascii="Montserrat" w:eastAsia="Times New Roman" w:hAnsi="Montserrat"/>
                <w:color w:val="000000"/>
                <w:sz w:val="15"/>
                <w:szCs w:val="15"/>
                <w:lang w:val="es-MX" w:eastAsia="es-MX"/>
              </w:rPr>
            </w:pPr>
            <w:r w:rsidRPr="00CD2D40">
              <w:rPr>
                <w:rFonts w:ascii="Montserrat" w:eastAsia="Times New Roman" w:hAnsi="Montserrat"/>
                <w:color w:val="000000"/>
                <w:sz w:val="15"/>
                <w:szCs w:val="15"/>
                <w:lang w:val="es-MX" w:eastAsia="es-MX"/>
              </w:rPr>
              <w:t>29,534,281.6</w:t>
            </w:r>
          </w:p>
        </w:tc>
      </w:tr>
      <w:tr w:rsidR="00CD2D40" w:rsidRPr="00CD2D40" w14:paraId="53A2D1E8" w14:textId="77777777" w:rsidTr="00E4106E">
        <w:trPr>
          <w:trHeight w:val="396"/>
          <w:jc w:val="center"/>
        </w:trPr>
        <w:tc>
          <w:tcPr>
            <w:tcW w:w="6952" w:type="dxa"/>
            <w:tcBorders>
              <w:top w:val="nil"/>
              <w:left w:val="nil"/>
              <w:bottom w:val="single" w:sz="12" w:space="0" w:color="808080"/>
              <w:right w:val="nil"/>
            </w:tcBorders>
            <w:shd w:val="clear" w:color="000000" w:fill="F2F2F2"/>
            <w:vAlign w:val="center"/>
            <w:hideMark/>
          </w:tcPr>
          <w:p w14:paraId="405FAC52" w14:textId="77777777" w:rsidR="00CD2D40" w:rsidRPr="00CD2D40" w:rsidRDefault="00CD2D40" w:rsidP="00CD2D40">
            <w:pPr>
              <w:spacing w:after="0" w:line="240" w:lineRule="auto"/>
              <w:rPr>
                <w:rFonts w:ascii="Montserrat" w:eastAsia="Times New Roman" w:hAnsi="Montserrat"/>
                <w:b/>
                <w:bCs/>
                <w:color w:val="000000"/>
                <w:sz w:val="15"/>
                <w:szCs w:val="15"/>
                <w:lang w:val="es-MX" w:eastAsia="es-MX"/>
              </w:rPr>
            </w:pPr>
            <w:r w:rsidRPr="00CD2D40">
              <w:rPr>
                <w:rFonts w:ascii="Montserrat" w:eastAsia="Times New Roman" w:hAnsi="Montserrat"/>
                <w:b/>
                <w:bCs/>
                <w:color w:val="000000"/>
                <w:sz w:val="15"/>
                <w:szCs w:val="15"/>
                <w:lang w:val="es-MX" w:eastAsia="es-MX"/>
              </w:rPr>
              <w:t xml:space="preserve">Total Servicios Profesionales, Científicos y Técnicos y Otros Servicios </w:t>
            </w:r>
          </w:p>
        </w:tc>
        <w:tc>
          <w:tcPr>
            <w:tcW w:w="2206" w:type="dxa"/>
            <w:tcBorders>
              <w:top w:val="nil"/>
              <w:left w:val="nil"/>
              <w:bottom w:val="single" w:sz="12" w:space="0" w:color="808080"/>
              <w:right w:val="nil"/>
            </w:tcBorders>
            <w:shd w:val="clear" w:color="000000" w:fill="F2F2F2"/>
            <w:vAlign w:val="center"/>
            <w:hideMark/>
          </w:tcPr>
          <w:p w14:paraId="31629DD5" w14:textId="77777777" w:rsidR="00CD2D40" w:rsidRPr="00CD2D40" w:rsidRDefault="00CD2D40" w:rsidP="0043151F">
            <w:pPr>
              <w:spacing w:after="0" w:line="240" w:lineRule="auto"/>
              <w:jc w:val="right"/>
              <w:rPr>
                <w:rFonts w:ascii="Montserrat" w:eastAsia="Times New Roman" w:hAnsi="Montserrat"/>
                <w:b/>
                <w:bCs/>
                <w:color w:val="000000"/>
                <w:sz w:val="15"/>
                <w:szCs w:val="15"/>
                <w:lang w:val="es-MX" w:eastAsia="es-MX"/>
              </w:rPr>
            </w:pPr>
            <w:r w:rsidRPr="00CD2D40">
              <w:rPr>
                <w:rFonts w:ascii="Montserrat" w:eastAsia="Times New Roman" w:hAnsi="Montserrat"/>
                <w:b/>
                <w:bCs/>
                <w:color w:val="000000"/>
                <w:sz w:val="15"/>
                <w:szCs w:val="15"/>
                <w:lang w:val="es-MX" w:eastAsia="es-MX"/>
              </w:rPr>
              <w:t>26,064,689,212.</w:t>
            </w:r>
            <w:r w:rsidR="0043151F">
              <w:rPr>
                <w:rFonts w:ascii="Montserrat" w:eastAsia="Times New Roman" w:hAnsi="Montserrat"/>
                <w:b/>
                <w:bCs/>
                <w:color w:val="000000"/>
                <w:sz w:val="15"/>
                <w:szCs w:val="15"/>
                <w:lang w:val="es-MX" w:eastAsia="es-MX"/>
              </w:rPr>
              <w:t>3</w:t>
            </w:r>
          </w:p>
        </w:tc>
        <w:tc>
          <w:tcPr>
            <w:tcW w:w="2156" w:type="dxa"/>
            <w:tcBorders>
              <w:top w:val="nil"/>
              <w:left w:val="nil"/>
              <w:bottom w:val="single" w:sz="12" w:space="0" w:color="808080"/>
              <w:right w:val="nil"/>
            </w:tcBorders>
            <w:shd w:val="clear" w:color="000000" w:fill="F2F2F2"/>
            <w:vAlign w:val="center"/>
            <w:hideMark/>
          </w:tcPr>
          <w:p w14:paraId="2F4DB844" w14:textId="77777777" w:rsidR="00CD2D40" w:rsidRPr="00CD2D40" w:rsidRDefault="00CD2D40" w:rsidP="0043151F">
            <w:pPr>
              <w:spacing w:after="0" w:line="240" w:lineRule="auto"/>
              <w:jc w:val="right"/>
              <w:rPr>
                <w:rFonts w:ascii="Montserrat" w:eastAsia="Times New Roman" w:hAnsi="Montserrat"/>
                <w:b/>
                <w:bCs/>
                <w:color w:val="000000"/>
                <w:sz w:val="15"/>
                <w:szCs w:val="15"/>
                <w:lang w:val="es-MX" w:eastAsia="es-MX"/>
              </w:rPr>
            </w:pPr>
            <w:r w:rsidRPr="00CD2D40">
              <w:rPr>
                <w:rFonts w:ascii="Montserrat" w:eastAsia="Times New Roman" w:hAnsi="Montserrat"/>
                <w:b/>
                <w:bCs/>
                <w:color w:val="000000"/>
                <w:sz w:val="15"/>
                <w:szCs w:val="15"/>
                <w:lang w:val="es-MX" w:eastAsia="es-MX"/>
              </w:rPr>
              <w:t>16,696,969,872.</w:t>
            </w:r>
            <w:r w:rsidR="0043151F">
              <w:rPr>
                <w:rFonts w:ascii="Montserrat" w:eastAsia="Times New Roman" w:hAnsi="Montserrat"/>
                <w:b/>
                <w:bCs/>
                <w:color w:val="000000"/>
                <w:sz w:val="15"/>
                <w:szCs w:val="15"/>
                <w:lang w:val="es-MX" w:eastAsia="es-MX"/>
              </w:rPr>
              <w:t>7</w:t>
            </w:r>
          </w:p>
        </w:tc>
      </w:tr>
    </w:tbl>
    <w:p w14:paraId="285B9CE1" w14:textId="77777777" w:rsidR="00CD2D40" w:rsidRDefault="00CD2D40" w:rsidP="00C16E7C">
      <w:pPr>
        <w:pStyle w:val="TEXTONORMAL"/>
        <w:rPr>
          <w:rFonts w:eastAsia="Times New Roman"/>
          <w:color w:val="000000"/>
          <w:lang w:eastAsia="es-MX"/>
        </w:rPr>
      </w:pPr>
    </w:p>
    <w:p w14:paraId="5D9E3748" w14:textId="77777777" w:rsidR="000868D5" w:rsidRDefault="000868D5" w:rsidP="009D5C48">
      <w:pPr>
        <w:pStyle w:val="TEXTONORMAL"/>
      </w:pPr>
    </w:p>
    <w:p w14:paraId="19BBB34E" w14:textId="77777777" w:rsidR="009D5C48" w:rsidRPr="002778C0" w:rsidRDefault="00F87332" w:rsidP="003F2A12">
      <w:pPr>
        <w:pStyle w:val="VIETAFLECHA"/>
        <w:numPr>
          <w:ilvl w:val="1"/>
          <w:numId w:val="39"/>
        </w:numPr>
        <w:ind w:left="357" w:hanging="357"/>
      </w:pPr>
      <w:r w:rsidRPr="008142BE">
        <w:rPr>
          <w:b/>
        </w:rPr>
        <w:lastRenderedPageBreak/>
        <w:t>4.4</w:t>
      </w:r>
      <w:r>
        <w:t xml:space="preserve"> </w:t>
      </w:r>
      <w:r w:rsidR="009D5C48" w:rsidRPr="002778C0">
        <w:t>Pensiones y Jubilaciones</w:t>
      </w:r>
    </w:p>
    <w:p w14:paraId="50DA6B43" w14:textId="77777777" w:rsidR="009D5C48" w:rsidRDefault="009D5C48" w:rsidP="00C16E7C">
      <w:pPr>
        <w:pStyle w:val="TEXTONORMAL"/>
      </w:pPr>
      <w:r w:rsidRPr="002A48BC">
        <w:t xml:space="preserve">Al </w:t>
      </w:r>
      <w:r w:rsidR="00ED23F0">
        <w:t>30 de septiembre</w:t>
      </w:r>
      <w:r w:rsidR="005E77B6" w:rsidRPr="002A48BC">
        <w:t xml:space="preserve"> de 2022 y 2021</w:t>
      </w:r>
      <w:r w:rsidRPr="002A48BC">
        <w:t>, las Pensiones</w:t>
      </w:r>
      <w:r w:rsidRPr="001465AC">
        <w:t xml:space="preserve"> y Jubilaciones están integradas como se muestra a continuación:</w:t>
      </w:r>
    </w:p>
    <w:p w14:paraId="6651BE75" w14:textId="77777777" w:rsidR="00E47490" w:rsidRDefault="00E47490" w:rsidP="00C16E7C">
      <w:pPr>
        <w:pStyle w:val="TEXTONORMAL"/>
      </w:pPr>
    </w:p>
    <w:tbl>
      <w:tblPr>
        <w:tblW w:w="10497" w:type="dxa"/>
        <w:jc w:val="center"/>
        <w:tblCellMar>
          <w:left w:w="70" w:type="dxa"/>
          <w:right w:w="70" w:type="dxa"/>
        </w:tblCellMar>
        <w:tblLook w:val="04A0" w:firstRow="1" w:lastRow="0" w:firstColumn="1" w:lastColumn="0" w:noHBand="0" w:noVBand="1"/>
      </w:tblPr>
      <w:tblGrid>
        <w:gridCol w:w="6451"/>
        <w:gridCol w:w="2047"/>
        <w:gridCol w:w="1999"/>
      </w:tblGrid>
      <w:tr w:rsidR="00E47490" w:rsidRPr="00E47490" w14:paraId="6D643EB9" w14:textId="77777777" w:rsidTr="00E47490">
        <w:trPr>
          <w:trHeight w:val="258"/>
          <w:jc w:val="center"/>
        </w:trPr>
        <w:tc>
          <w:tcPr>
            <w:tcW w:w="645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9047587" w14:textId="77777777" w:rsidR="00E47490" w:rsidRPr="00E47490" w:rsidRDefault="00E47490" w:rsidP="00E47490">
            <w:pPr>
              <w:spacing w:after="0" w:line="240" w:lineRule="auto"/>
              <w:jc w:val="center"/>
              <w:rPr>
                <w:rFonts w:ascii="Montserrat" w:eastAsia="Times New Roman" w:hAnsi="Montserrat"/>
                <w:b/>
                <w:bCs/>
                <w:color w:val="FFFFFF"/>
                <w:sz w:val="16"/>
                <w:szCs w:val="16"/>
                <w:lang w:val="es-MX" w:eastAsia="es-MX"/>
              </w:rPr>
            </w:pPr>
            <w:r w:rsidRPr="00E47490">
              <w:rPr>
                <w:rFonts w:ascii="Montserrat" w:eastAsia="Times New Roman" w:hAnsi="Montserrat"/>
                <w:b/>
                <w:bCs/>
                <w:color w:val="FFFFFF"/>
                <w:sz w:val="16"/>
                <w:szCs w:val="16"/>
                <w:lang w:val="es-MX" w:eastAsia="es-MX"/>
              </w:rPr>
              <w:t>Concepto</w:t>
            </w:r>
          </w:p>
        </w:tc>
        <w:tc>
          <w:tcPr>
            <w:tcW w:w="404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B1DB2E0" w14:textId="77777777" w:rsidR="00E47490" w:rsidRPr="00E47490" w:rsidRDefault="00E47490" w:rsidP="00E47490">
            <w:pPr>
              <w:spacing w:after="0" w:line="240" w:lineRule="auto"/>
              <w:jc w:val="center"/>
              <w:rPr>
                <w:rFonts w:ascii="Montserrat" w:eastAsia="Times New Roman" w:hAnsi="Montserrat"/>
                <w:b/>
                <w:bCs/>
                <w:color w:val="FFFFFF"/>
                <w:sz w:val="16"/>
                <w:szCs w:val="16"/>
                <w:lang w:val="es-MX" w:eastAsia="es-MX"/>
              </w:rPr>
            </w:pPr>
            <w:r w:rsidRPr="00E47490">
              <w:rPr>
                <w:rFonts w:ascii="Montserrat" w:eastAsia="Times New Roman" w:hAnsi="Montserrat"/>
                <w:b/>
                <w:bCs/>
                <w:color w:val="FFFFFF"/>
                <w:sz w:val="16"/>
                <w:szCs w:val="16"/>
                <w:lang w:val="es-MX" w:eastAsia="es-MX"/>
              </w:rPr>
              <w:t>Cifras en pesos</w:t>
            </w:r>
          </w:p>
        </w:tc>
      </w:tr>
      <w:tr w:rsidR="00E47490" w:rsidRPr="00E47490" w14:paraId="67978E1D" w14:textId="77777777" w:rsidTr="00E47490">
        <w:trPr>
          <w:trHeight w:val="258"/>
          <w:jc w:val="center"/>
        </w:trPr>
        <w:tc>
          <w:tcPr>
            <w:tcW w:w="6451" w:type="dxa"/>
            <w:vMerge/>
            <w:tcBorders>
              <w:top w:val="single" w:sz="12" w:space="0" w:color="808080"/>
              <w:left w:val="single" w:sz="12" w:space="0" w:color="FFFFFF"/>
              <w:bottom w:val="double" w:sz="6" w:space="0" w:color="808080"/>
              <w:right w:val="single" w:sz="12" w:space="0" w:color="FFFFFF"/>
            </w:tcBorders>
            <w:vAlign w:val="center"/>
            <w:hideMark/>
          </w:tcPr>
          <w:p w14:paraId="39C72915" w14:textId="77777777" w:rsidR="00E47490" w:rsidRPr="00E47490" w:rsidRDefault="00E47490" w:rsidP="00E47490">
            <w:pPr>
              <w:spacing w:after="0" w:line="240" w:lineRule="auto"/>
              <w:rPr>
                <w:rFonts w:ascii="Montserrat" w:eastAsia="Times New Roman" w:hAnsi="Montserrat"/>
                <w:b/>
                <w:bCs/>
                <w:color w:val="FFFFFF"/>
                <w:sz w:val="16"/>
                <w:szCs w:val="16"/>
                <w:lang w:val="es-MX" w:eastAsia="es-MX"/>
              </w:rPr>
            </w:pPr>
          </w:p>
        </w:tc>
        <w:tc>
          <w:tcPr>
            <w:tcW w:w="2047" w:type="dxa"/>
            <w:tcBorders>
              <w:top w:val="nil"/>
              <w:left w:val="nil"/>
              <w:bottom w:val="double" w:sz="6" w:space="0" w:color="808080"/>
              <w:right w:val="single" w:sz="12" w:space="0" w:color="FFFFFF"/>
            </w:tcBorders>
            <w:shd w:val="clear" w:color="000000" w:fill="D4C19C"/>
            <w:vAlign w:val="center"/>
            <w:hideMark/>
          </w:tcPr>
          <w:p w14:paraId="287FD76F" w14:textId="77777777" w:rsidR="00E47490" w:rsidRPr="00E47490" w:rsidRDefault="00E47490" w:rsidP="00E47490">
            <w:pPr>
              <w:spacing w:after="0" w:line="240" w:lineRule="auto"/>
              <w:jc w:val="center"/>
              <w:rPr>
                <w:rFonts w:ascii="Montserrat" w:eastAsia="Times New Roman" w:hAnsi="Montserrat"/>
                <w:b/>
                <w:bCs/>
                <w:color w:val="FFFFFF"/>
                <w:sz w:val="16"/>
                <w:szCs w:val="16"/>
                <w:lang w:val="es-MX" w:eastAsia="es-MX"/>
              </w:rPr>
            </w:pPr>
            <w:r w:rsidRPr="00E47490">
              <w:rPr>
                <w:rFonts w:ascii="Montserrat" w:eastAsia="Times New Roman" w:hAnsi="Montserrat"/>
                <w:b/>
                <w:bCs/>
                <w:color w:val="FFFFFF"/>
                <w:sz w:val="16"/>
                <w:szCs w:val="16"/>
                <w:lang w:val="es-MX" w:eastAsia="es-MX"/>
              </w:rPr>
              <w:t>2022</w:t>
            </w:r>
          </w:p>
        </w:tc>
        <w:tc>
          <w:tcPr>
            <w:tcW w:w="1999" w:type="dxa"/>
            <w:tcBorders>
              <w:top w:val="nil"/>
              <w:left w:val="nil"/>
              <w:bottom w:val="double" w:sz="6" w:space="0" w:color="808080"/>
              <w:right w:val="single" w:sz="12" w:space="0" w:color="FFFFFF"/>
            </w:tcBorders>
            <w:shd w:val="clear" w:color="000000" w:fill="D4C19C"/>
            <w:vAlign w:val="center"/>
            <w:hideMark/>
          </w:tcPr>
          <w:p w14:paraId="4B7877C5" w14:textId="77777777" w:rsidR="00E47490" w:rsidRPr="00E47490" w:rsidRDefault="00E47490" w:rsidP="00E47490">
            <w:pPr>
              <w:spacing w:after="0" w:line="240" w:lineRule="auto"/>
              <w:jc w:val="center"/>
              <w:rPr>
                <w:rFonts w:ascii="Montserrat" w:eastAsia="Times New Roman" w:hAnsi="Montserrat"/>
                <w:b/>
                <w:bCs/>
                <w:color w:val="FFFFFF"/>
                <w:sz w:val="16"/>
                <w:szCs w:val="16"/>
                <w:lang w:val="es-MX" w:eastAsia="es-MX"/>
              </w:rPr>
            </w:pPr>
            <w:r w:rsidRPr="00E47490">
              <w:rPr>
                <w:rFonts w:ascii="Montserrat" w:eastAsia="Times New Roman" w:hAnsi="Montserrat"/>
                <w:b/>
                <w:bCs/>
                <w:color w:val="FFFFFF"/>
                <w:sz w:val="16"/>
                <w:szCs w:val="16"/>
                <w:lang w:val="es-MX" w:eastAsia="es-MX"/>
              </w:rPr>
              <w:t>2021</w:t>
            </w:r>
          </w:p>
        </w:tc>
      </w:tr>
      <w:tr w:rsidR="00E47490" w:rsidRPr="00E47490" w14:paraId="342F3D17" w14:textId="77777777" w:rsidTr="00E47490">
        <w:trPr>
          <w:trHeight w:val="246"/>
          <w:jc w:val="center"/>
        </w:trPr>
        <w:tc>
          <w:tcPr>
            <w:tcW w:w="6451" w:type="dxa"/>
            <w:tcBorders>
              <w:top w:val="nil"/>
              <w:left w:val="nil"/>
              <w:bottom w:val="nil"/>
              <w:right w:val="nil"/>
            </w:tcBorders>
            <w:shd w:val="clear" w:color="000000" w:fill="F2F2F2"/>
            <w:vAlign w:val="center"/>
            <w:hideMark/>
          </w:tcPr>
          <w:p w14:paraId="3C33EEAA" w14:textId="77777777" w:rsidR="00E47490" w:rsidRPr="00E47490" w:rsidRDefault="00E47490" w:rsidP="00E47490">
            <w:pPr>
              <w:spacing w:after="0" w:line="240" w:lineRule="auto"/>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Jubilación</w:t>
            </w:r>
          </w:p>
        </w:tc>
        <w:tc>
          <w:tcPr>
            <w:tcW w:w="2047" w:type="dxa"/>
            <w:tcBorders>
              <w:top w:val="nil"/>
              <w:left w:val="nil"/>
              <w:bottom w:val="nil"/>
              <w:right w:val="nil"/>
            </w:tcBorders>
            <w:shd w:val="clear" w:color="000000" w:fill="F2F2F2"/>
            <w:vAlign w:val="center"/>
            <w:hideMark/>
          </w:tcPr>
          <w:p w14:paraId="2F57BA76" w14:textId="77777777" w:rsidR="00E47490" w:rsidRPr="00E47490" w:rsidRDefault="00E47490" w:rsidP="00E47490">
            <w:pPr>
              <w:spacing w:after="0" w:line="240" w:lineRule="auto"/>
              <w:jc w:val="right"/>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90,147,169,100.1</w:t>
            </w:r>
          </w:p>
        </w:tc>
        <w:tc>
          <w:tcPr>
            <w:tcW w:w="1999" w:type="dxa"/>
            <w:tcBorders>
              <w:top w:val="nil"/>
              <w:left w:val="nil"/>
              <w:bottom w:val="nil"/>
              <w:right w:val="nil"/>
            </w:tcBorders>
            <w:shd w:val="clear" w:color="000000" w:fill="F2F2F2"/>
            <w:vAlign w:val="center"/>
            <w:hideMark/>
          </w:tcPr>
          <w:p w14:paraId="53991E60" w14:textId="77777777" w:rsidR="00E47490" w:rsidRPr="00E47490" w:rsidRDefault="00E47490" w:rsidP="00E47490">
            <w:pPr>
              <w:spacing w:after="0" w:line="240" w:lineRule="auto"/>
              <w:jc w:val="right"/>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82,849,658,801.8</w:t>
            </w:r>
          </w:p>
        </w:tc>
      </w:tr>
      <w:tr w:rsidR="00E47490" w:rsidRPr="00E47490" w14:paraId="294F68FD" w14:textId="77777777" w:rsidTr="00E47490">
        <w:trPr>
          <w:trHeight w:val="235"/>
          <w:jc w:val="center"/>
        </w:trPr>
        <w:tc>
          <w:tcPr>
            <w:tcW w:w="6451" w:type="dxa"/>
            <w:tcBorders>
              <w:top w:val="nil"/>
              <w:left w:val="nil"/>
              <w:bottom w:val="nil"/>
              <w:right w:val="nil"/>
            </w:tcBorders>
            <w:shd w:val="clear" w:color="000000" w:fill="F2F2F2"/>
            <w:vAlign w:val="center"/>
            <w:hideMark/>
          </w:tcPr>
          <w:p w14:paraId="13476AA2" w14:textId="77777777" w:rsidR="00E47490" w:rsidRPr="00E47490" w:rsidRDefault="00E47490" w:rsidP="00E47490">
            <w:pPr>
              <w:spacing w:after="0" w:line="240" w:lineRule="auto"/>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 xml:space="preserve">Otras Pensiones y Jubilaciones </w:t>
            </w:r>
            <w:r w:rsidRPr="00E47490">
              <w:rPr>
                <w:rFonts w:ascii="Montserrat" w:eastAsia="Times New Roman" w:hAnsi="Montserrat"/>
                <w:b/>
                <w:bCs/>
                <w:color w:val="000000"/>
                <w:sz w:val="15"/>
                <w:szCs w:val="15"/>
                <w:lang w:val="es-MX" w:eastAsia="es-MX"/>
              </w:rPr>
              <w:t>(4.4.a)</w:t>
            </w:r>
            <w:r w:rsidRPr="00E47490">
              <w:rPr>
                <w:rFonts w:ascii="Montserrat" w:eastAsia="Times New Roman" w:hAnsi="Montserrat"/>
                <w:color w:val="000000"/>
                <w:sz w:val="15"/>
                <w:szCs w:val="15"/>
                <w:lang w:val="es-MX" w:eastAsia="es-MX"/>
              </w:rPr>
              <w:t xml:space="preserve"> </w:t>
            </w:r>
          </w:p>
        </w:tc>
        <w:tc>
          <w:tcPr>
            <w:tcW w:w="2047" w:type="dxa"/>
            <w:tcBorders>
              <w:top w:val="nil"/>
              <w:left w:val="nil"/>
              <w:bottom w:val="nil"/>
              <w:right w:val="nil"/>
            </w:tcBorders>
            <w:shd w:val="clear" w:color="000000" w:fill="F2F2F2"/>
            <w:vAlign w:val="center"/>
            <w:hideMark/>
          </w:tcPr>
          <w:p w14:paraId="35D28312" w14:textId="77777777" w:rsidR="00E47490" w:rsidRPr="00E47490" w:rsidRDefault="00E47490" w:rsidP="00E47490">
            <w:pPr>
              <w:spacing w:after="0" w:line="240" w:lineRule="auto"/>
              <w:jc w:val="right"/>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36,274,920,568.0</w:t>
            </w:r>
          </w:p>
        </w:tc>
        <w:tc>
          <w:tcPr>
            <w:tcW w:w="1999" w:type="dxa"/>
            <w:tcBorders>
              <w:top w:val="nil"/>
              <w:left w:val="nil"/>
              <w:bottom w:val="nil"/>
              <w:right w:val="nil"/>
            </w:tcBorders>
            <w:shd w:val="clear" w:color="000000" w:fill="F2F2F2"/>
            <w:vAlign w:val="center"/>
            <w:hideMark/>
          </w:tcPr>
          <w:p w14:paraId="67FB288C" w14:textId="77777777" w:rsidR="00E47490" w:rsidRPr="00E47490" w:rsidRDefault="00E47490" w:rsidP="00E47490">
            <w:pPr>
              <w:spacing w:after="0" w:line="240" w:lineRule="auto"/>
              <w:jc w:val="right"/>
              <w:rPr>
                <w:rFonts w:ascii="Montserrat" w:eastAsia="Times New Roman" w:hAnsi="Montserrat"/>
                <w:color w:val="000000"/>
                <w:sz w:val="15"/>
                <w:szCs w:val="15"/>
                <w:lang w:val="es-MX" w:eastAsia="es-MX"/>
              </w:rPr>
            </w:pPr>
            <w:r w:rsidRPr="00E47490">
              <w:rPr>
                <w:rFonts w:ascii="Montserrat" w:eastAsia="Times New Roman" w:hAnsi="Montserrat"/>
                <w:color w:val="000000"/>
                <w:sz w:val="15"/>
                <w:szCs w:val="15"/>
                <w:lang w:val="es-MX" w:eastAsia="es-MX"/>
              </w:rPr>
              <w:t>37,254,146,414.1</w:t>
            </w:r>
          </w:p>
        </w:tc>
      </w:tr>
      <w:tr w:rsidR="00E47490" w:rsidRPr="00E47490" w14:paraId="3F54FA5A" w14:textId="77777777" w:rsidTr="00E47490">
        <w:trPr>
          <w:trHeight w:val="246"/>
          <w:jc w:val="center"/>
        </w:trPr>
        <w:tc>
          <w:tcPr>
            <w:tcW w:w="6451" w:type="dxa"/>
            <w:tcBorders>
              <w:top w:val="nil"/>
              <w:left w:val="nil"/>
              <w:bottom w:val="single" w:sz="12" w:space="0" w:color="808080"/>
              <w:right w:val="nil"/>
            </w:tcBorders>
            <w:shd w:val="clear" w:color="000000" w:fill="F2F2F2"/>
            <w:vAlign w:val="center"/>
            <w:hideMark/>
          </w:tcPr>
          <w:p w14:paraId="667B7B7D" w14:textId="77777777" w:rsidR="00E47490" w:rsidRPr="00E47490" w:rsidRDefault="00E47490" w:rsidP="00E47490">
            <w:pPr>
              <w:spacing w:after="0" w:line="240" w:lineRule="auto"/>
              <w:rPr>
                <w:rFonts w:ascii="Montserrat" w:eastAsia="Times New Roman" w:hAnsi="Montserrat"/>
                <w:b/>
                <w:bCs/>
                <w:color w:val="000000"/>
                <w:sz w:val="15"/>
                <w:szCs w:val="15"/>
                <w:lang w:val="es-MX" w:eastAsia="es-MX"/>
              </w:rPr>
            </w:pPr>
            <w:r w:rsidRPr="00E47490">
              <w:rPr>
                <w:rFonts w:ascii="Montserrat" w:eastAsia="Times New Roman" w:hAnsi="Montserrat"/>
                <w:b/>
                <w:bCs/>
                <w:color w:val="000000"/>
                <w:sz w:val="15"/>
                <w:szCs w:val="15"/>
                <w:lang w:val="es-MX" w:eastAsia="es-MX"/>
              </w:rPr>
              <w:t>Total Pensiones y Jubilaciones</w:t>
            </w:r>
          </w:p>
        </w:tc>
        <w:tc>
          <w:tcPr>
            <w:tcW w:w="2047" w:type="dxa"/>
            <w:tcBorders>
              <w:top w:val="nil"/>
              <w:left w:val="nil"/>
              <w:bottom w:val="single" w:sz="12" w:space="0" w:color="808080"/>
              <w:right w:val="nil"/>
            </w:tcBorders>
            <w:shd w:val="clear" w:color="000000" w:fill="F2F2F2"/>
            <w:vAlign w:val="center"/>
            <w:hideMark/>
          </w:tcPr>
          <w:p w14:paraId="2A3D527D" w14:textId="77777777" w:rsidR="00E47490" w:rsidRPr="00E47490" w:rsidRDefault="00E47490" w:rsidP="00E47490">
            <w:pPr>
              <w:spacing w:after="0" w:line="240" w:lineRule="auto"/>
              <w:jc w:val="right"/>
              <w:rPr>
                <w:rFonts w:ascii="Montserrat" w:eastAsia="Times New Roman" w:hAnsi="Montserrat"/>
                <w:b/>
                <w:bCs/>
                <w:color w:val="000000"/>
                <w:sz w:val="15"/>
                <w:szCs w:val="15"/>
                <w:lang w:val="es-MX" w:eastAsia="es-MX"/>
              </w:rPr>
            </w:pPr>
            <w:r w:rsidRPr="00E47490">
              <w:rPr>
                <w:rFonts w:ascii="Montserrat" w:eastAsia="Times New Roman" w:hAnsi="Montserrat"/>
                <w:b/>
                <w:bCs/>
                <w:color w:val="000000"/>
                <w:sz w:val="15"/>
                <w:szCs w:val="15"/>
                <w:lang w:val="es-MX" w:eastAsia="es-MX"/>
              </w:rPr>
              <w:t>126,422,089,668.1</w:t>
            </w:r>
          </w:p>
        </w:tc>
        <w:tc>
          <w:tcPr>
            <w:tcW w:w="1999" w:type="dxa"/>
            <w:tcBorders>
              <w:top w:val="nil"/>
              <w:left w:val="nil"/>
              <w:bottom w:val="single" w:sz="12" w:space="0" w:color="808080"/>
              <w:right w:val="nil"/>
            </w:tcBorders>
            <w:shd w:val="clear" w:color="000000" w:fill="F2F2F2"/>
            <w:vAlign w:val="center"/>
            <w:hideMark/>
          </w:tcPr>
          <w:p w14:paraId="0D92445A" w14:textId="77777777" w:rsidR="00E47490" w:rsidRPr="00E47490" w:rsidRDefault="00E47490" w:rsidP="00E47490">
            <w:pPr>
              <w:spacing w:after="0" w:line="240" w:lineRule="auto"/>
              <w:jc w:val="right"/>
              <w:rPr>
                <w:rFonts w:ascii="Montserrat" w:eastAsia="Times New Roman" w:hAnsi="Montserrat"/>
                <w:b/>
                <w:bCs/>
                <w:color w:val="000000"/>
                <w:sz w:val="15"/>
                <w:szCs w:val="15"/>
                <w:lang w:val="es-MX" w:eastAsia="es-MX"/>
              </w:rPr>
            </w:pPr>
            <w:r w:rsidRPr="00E47490">
              <w:rPr>
                <w:rFonts w:ascii="Montserrat" w:eastAsia="Times New Roman" w:hAnsi="Montserrat"/>
                <w:b/>
                <w:bCs/>
                <w:color w:val="000000"/>
                <w:sz w:val="15"/>
                <w:szCs w:val="15"/>
                <w:lang w:val="es-MX" w:eastAsia="es-MX"/>
              </w:rPr>
              <w:t>120,103,805,215.9</w:t>
            </w:r>
          </w:p>
        </w:tc>
      </w:tr>
    </w:tbl>
    <w:p w14:paraId="3A151760" w14:textId="77777777" w:rsidR="00E47490" w:rsidRDefault="00E47490" w:rsidP="00C16E7C">
      <w:pPr>
        <w:pStyle w:val="TEXTONORMAL"/>
      </w:pPr>
    </w:p>
    <w:p w14:paraId="562E9F0E" w14:textId="77777777" w:rsidR="009D5C48" w:rsidRDefault="009D5C48" w:rsidP="00C16E7C">
      <w:pPr>
        <w:pStyle w:val="TEXTONORMAL"/>
      </w:pPr>
      <w:r>
        <w:t>El Instituto otorga a sus empleados el plan de pensiones denominado Régimen de Jubilaciones y Pensiones (RJP), el cual se encuentra inserto en su CCT.</w:t>
      </w:r>
    </w:p>
    <w:p w14:paraId="5598CC7A" w14:textId="77777777" w:rsidR="004E39CD" w:rsidRDefault="004E39CD" w:rsidP="00C16E7C">
      <w:pPr>
        <w:pStyle w:val="TEXTONORMAL"/>
      </w:pPr>
    </w:p>
    <w:p w14:paraId="61E94FD7" w14:textId="77777777" w:rsidR="009D5C48" w:rsidRDefault="009D5C48" w:rsidP="003F2A12">
      <w:pPr>
        <w:pStyle w:val="TEXTONORMAL"/>
        <w:numPr>
          <w:ilvl w:val="0"/>
          <w:numId w:val="41"/>
        </w:numPr>
        <w:ind w:left="771" w:hanging="357"/>
        <w:rPr>
          <w:lang w:val="es-MX"/>
        </w:rPr>
      </w:pPr>
      <w:r>
        <w:rPr>
          <w:b/>
        </w:rPr>
        <w:t>4.4</w:t>
      </w:r>
      <w:r w:rsidRPr="00E2580A">
        <w:rPr>
          <w:b/>
        </w:rPr>
        <w:t>.a)</w:t>
      </w:r>
      <w:r>
        <w:t xml:space="preserve"> </w:t>
      </w:r>
      <w:r w:rsidRPr="00883524">
        <w:rPr>
          <w:lang w:val="es-MX"/>
        </w:rPr>
        <w:t>Las Otras Pensiones y Jubilaciones están integradas como se muestra a continuación:</w:t>
      </w:r>
    </w:p>
    <w:p w14:paraId="4EA8DE0B" w14:textId="77777777" w:rsidR="00737E4D" w:rsidRDefault="00737E4D" w:rsidP="00C16E7C">
      <w:pPr>
        <w:pStyle w:val="TEXTONORMAL"/>
        <w:rPr>
          <w:lang w:val="es-MX"/>
        </w:rPr>
      </w:pPr>
    </w:p>
    <w:tbl>
      <w:tblPr>
        <w:tblW w:w="10392" w:type="dxa"/>
        <w:jc w:val="center"/>
        <w:tblCellMar>
          <w:left w:w="70" w:type="dxa"/>
          <w:right w:w="70" w:type="dxa"/>
        </w:tblCellMar>
        <w:tblLook w:val="04A0" w:firstRow="1" w:lastRow="0" w:firstColumn="1" w:lastColumn="0" w:noHBand="0" w:noVBand="1"/>
      </w:tblPr>
      <w:tblGrid>
        <w:gridCol w:w="6386"/>
        <w:gridCol w:w="2027"/>
        <w:gridCol w:w="1979"/>
      </w:tblGrid>
      <w:tr w:rsidR="00816A62" w:rsidRPr="00816A62" w14:paraId="35A91841" w14:textId="77777777" w:rsidTr="00816A62">
        <w:trPr>
          <w:trHeight w:val="258"/>
          <w:jc w:val="center"/>
        </w:trPr>
        <w:tc>
          <w:tcPr>
            <w:tcW w:w="638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F5B3E43" w14:textId="77777777" w:rsidR="00816A62" w:rsidRPr="00816A62" w:rsidRDefault="00816A62" w:rsidP="00816A62">
            <w:pPr>
              <w:spacing w:after="0" w:line="240" w:lineRule="auto"/>
              <w:jc w:val="center"/>
              <w:rPr>
                <w:rFonts w:ascii="Montserrat" w:eastAsia="Times New Roman" w:hAnsi="Montserrat"/>
                <w:b/>
                <w:bCs/>
                <w:color w:val="FFFFFF"/>
                <w:sz w:val="16"/>
                <w:szCs w:val="16"/>
                <w:lang w:val="es-MX" w:eastAsia="es-MX"/>
              </w:rPr>
            </w:pPr>
            <w:r w:rsidRPr="00816A62">
              <w:rPr>
                <w:rFonts w:ascii="Montserrat" w:eastAsia="Times New Roman" w:hAnsi="Montserrat"/>
                <w:b/>
                <w:bCs/>
                <w:color w:val="FFFFFF"/>
                <w:sz w:val="16"/>
                <w:szCs w:val="16"/>
                <w:lang w:val="es-MX" w:eastAsia="es-MX"/>
              </w:rPr>
              <w:t>Concepto</w:t>
            </w:r>
          </w:p>
        </w:tc>
        <w:tc>
          <w:tcPr>
            <w:tcW w:w="400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A706A41" w14:textId="77777777" w:rsidR="00816A62" w:rsidRPr="00816A62" w:rsidRDefault="00816A62" w:rsidP="00816A62">
            <w:pPr>
              <w:spacing w:after="0" w:line="240" w:lineRule="auto"/>
              <w:jc w:val="center"/>
              <w:rPr>
                <w:rFonts w:ascii="Montserrat" w:eastAsia="Times New Roman" w:hAnsi="Montserrat"/>
                <w:b/>
                <w:bCs/>
                <w:color w:val="FFFFFF"/>
                <w:sz w:val="16"/>
                <w:szCs w:val="16"/>
                <w:lang w:val="es-MX" w:eastAsia="es-MX"/>
              </w:rPr>
            </w:pPr>
            <w:r w:rsidRPr="00816A62">
              <w:rPr>
                <w:rFonts w:ascii="Montserrat" w:eastAsia="Times New Roman" w:hAnsi="Montserrat"/>
                <w:b/>
                <w:bCs/>
                <w:color w:val="FFFFFF"/>
                <w:sz w:val="16"/>
                <w:szCs w:val="16"/>
                <w:lang w:val="es-MX" w:eastAsia="es-MX"/>
              </w:rPr>
              <w:t>Cifras en pesos</w:t>
            </w:r>
          </w:p>
        </w:tc>
      </w:tr>
      <w:tr w:rsidR="00816A62" w:rsidRPr="00816A62" w14:paraId="57124C7F" w14:textId="77777777" w:rsidTr="00816A62">
        <w:trPr>
          <w:trHeight w:val="258"/>
          <w:jc w:val="center"/>
        </w:trPr>
        <w:tc>
          <w:tcPr>
            <w:tcW w:w="6386" w:type="dxa"/>
            <w:vMerge/>
            <w:tcBorders>
              <w:top w:val="single" w:sz="12" w:space="0" w:color="808080"/>
              <w:left w:val="single" w:sz="12" w:space="0" w:color="FFFFFF"/>
              <w:bottom w:val="double" w:sz="6" w:space="0" w:color="808080"/>
              <w:right w:val="single" w:sz="12" w:space="0" w:color="FFFFFF"/>
            </w:tcBorders>
            <w:vAlign w:val="center"/>
            <w:hideMark/>
          </w:tcPr>
          <w:p w14:paraId="33144AE2" w14:textId="77777777" w:rsidR="00816A62" w:rsidRPr="00816A62" w:rsidRDefault="00816A62" w:rsidP="00816A62">
            <w:pPr>
              <w:spacing w:after="0" w:line="240" w:lineRule="auto"/>
              <w:rPr>
                <w:rFonts w:ascii="Montserrat" w:eastAsia="Times New Roman" w:hAnsi="Montserrat"/>
                <w:b/>
                <w:bCs/>
                <w:color w:val="FFFFFF"/>
                <w:sz w:val="16"/>
                <w:szCs w:val="16"/>
                <w:lang w:val="es-MX" w:eastAsia="es-MX"/>
              </w:rPr>
            </w:pPr>
          </w:p>
        </w:tc>
        <w:tc>
          <w:tcPr>
            <w:tcW w:w="2027" w:type="dxa"/>
            <w:tcBorders>
              <w:top w:val="nil"/>
              <w:left w:val="nil"/>
              <w:bottom w:val="double" w:sz="6" w:space="0" w:color="808080"/>
              <w:right w:val="single" w:sz="12" w:space="0" w:color="FFFFFF"/>
            </w:tcBorders>
            <w:shd w:val="clear" w:color="000000" w:fill="D4C19C"/>
            <w:vAlign w:val="center"/>
            <w:hideMark/>
          </w:tcPr>
          <w:p w14:paraId="2C898EB4" w14:textId="77777777" w:rsidR="00816A62" w:rsidRPr="00816A62" w:rsidRDefault="00816A62" w:rsidP="00816A62">
            <w:pPr>
              <w:spacing w:after="0" w:line="240" w:lineRule="auto"/>
              <w:jc w:val="center"/>
              <w:rPr>
                <w:rFonts w:ascii="Montserrat" w:eastAsia="Times New Roman" w:hAnsi="Montserrat"/>
                <w:b/>
                <w:bCs/>
                <w:color w:val="FFFFFF"/>
                <w:sz w:val="16"/>
                <w:szCs w:val="16"/>
                <w:lang w:val="es-MX" w:eastAsia="es-MX"/>
              </w:rPr>
            </w:pPr>
            <w:r w:rsidRPr="00816A62">
              <w:rPr>
                <w:rFonts w:ascii="Montserrat" w:eastAsia="Times New Roman" w:hAnsi="Montserrat"/>
                <w:b/>
                <w:bCs/>
                <w:color w:val="FFFFFF"/>
                <w:sz w:val="16"/>
                <w:szCs w:val="16"/>
                <w:lang w:val="es-MX" w:eastAsia="es-MX"/>
              </w:rPr>
              <w:t>2022</w:t>
            </w:r>
          </w:p>
        </w:tc>
        <w:tc>
          <w:tcPr>
            <w:tcW w:w="1979" w:type="dxa"/>
            <w:tcBorders>
              <w:top w:val="nil"/>
              <w:left w:val="nil"/>
              <w:bottom w:val="double" w:sz="6" w:space="0" w:color="808080"/>
              <w:right w:val="single" w:sz="12" w:space="0" w:color="FFFFFF"/>
            </w:tcBorders>
            <w:shd w:val="clear" w:color="000000" w:fill="D4C19C"/>
            <w:vAlign w:val="center"/>
            <w:hideMark/>
          </w:tcPr>
          <w:p w14:paraId="3434579F" w14:textId="77777777" w:rsidR="00816A62" w:rsidRPr="00816A62" w:rsidRDefault="00816A62" w:rsidP="00816A62">
            <w:pPr>
              <w:spacing w:after="0" w:line="240" w:lineRule="auto"/>
              <w:jc w:val="center"/>
              <w:rPr>
                <w:rFonts w:ascii="Montserrat" w:eastAsia="Times New Roman" w:hAnsi="Montserrat"/>
                <w:b/>
                <w:bCs/>
                <w:color w:val="FFFFFF"/>
                <w:sz w:val="16"/>
                <w:szCs w:val="16"/>
                <w:lang w:val="es-MX" w:eastAsia="es-MX"/>
              </w:rPr>
            </w:pPr>
            <w:r w:rsidRPr="00816A62">
              <w:rPr>
                <w:rFonts w:ascii="Montserrat" w:eastAsia="Times New Roman" w:hAnsi="Montserrat"/>
                <w:b/>
                <w:bCs/>
                <w:color w:val="FFFFFF"/>
                <w:sz w:val="16"/>
                <w:szCs w:val="16"/>
                <w:lang w:val="es-MX" w:eastAsia="es-MX"/>
              </w:rPr>
              <w:t>2021</w:t>
            </w:r>
          </w:p>
        </w:tc>
      </w:tr>
      <w:tr w:rsidR="00816A62" w:rsidRPr="00816A62" w14:paraId="3A66297C" w14:textId="77777777" w:rsidTr="00816A62">
        <w:trPr>
          <w:trHeight w:val="246"/>
          <w:jc w:val="center"/>
        </w:trPr>
        <w:tc>
          <w:tcPr>
            <w:tcW w:w="6386" w:type="dxa"/>
            <w:tcBorders>
              <w:top w:val="nil"/>
              <w:left w:val="nil"/>
              <w:bottom w:val="nil"/>
              <w:right w:val="nil"/>
            </w:tcBorders>
            <w:shd w:val="clear" w:color="000000" w:fill="F2F2F2"/>
            <w:vAlign w:val="center"/>
            <w:hideMark/>
          </w:tcPr>
          <w:p w14:paraId="740D86E4" w14:textId="77777777" w:rsidR="00816A62" w:rsidRPr="00816A62" w:rsidRDefault="00816A62" w:rsidP="00816A62">
            <w:pPr>
              <w:spacing w:after="0" w:line="240" w:lineRule="auto"/>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 xml:space="preserve">Sumas Aseguradas </w:t>
            </w:r>
            <w:r w:rsidRPr="00816A62">
              <w:rPr>
                <w:rFonts w:ascii="Montserrat" w:eastAsia="Times New Roman" w:hAnsi="Montserrat"/>
                <w:b/>
                <w:bCs/>
                <w:color w:val="000000"/>
                <w:sz w:val="15"/>
                <w:szCs w:val="15"/>
                <w:lang w:val="es-MX" w:eastAsia="es-MX"/>
              </w:rPr>
              <w:t>(4.4.a.1)</w:t>
            </w:r>
          </w:p>
        </w:tc>
        <w:tc>
          <w:tcPr>
            <w:tcW w:w="2027" w:type="dxa"/>
            <w:tcBorders>
              <w:top w:val="nil"/>
              <w:left w:val="nil"/>
              <w:bottom w:val="nil"/>
              <w:right w:val="nil"/>
            </w:tcBorders>
            <w:shd w:val="clear" w:color="000000" w:fill="F2F2F2"/>
            <w:vAlign w:val="center"/>
            <w:hideMark/>
          </w:tcPr>
          <w:p w14:paraId="45FCC21A" w14:textId="77777777" w:rsidR="00816A62" w:rsidRPr="00816A62" w:rsidRDefault="00816A62" w:rsidP="00816A62">
            <w:pPr>
              <w:spacing w:after="0" w:line="240" w:lineRule="auto"/>
              <w:jc w:val="right"/>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18,289,510,157.7</w:t>
            </w:r>
          </w:p>
        </w:tc>
        <w:tc>
          <w:tcPr>
            <w:tcW w:w="1979" w:type="dxa"/>
            <w:tcBorders>
              <w:top w:val="nil"/>
              <w:left w:val="nil"/>
              <w:bottom w:val="nil"/>
              <w:right w:val="nil"/>
            </w:tcBorders>
            <w:shd w:val="clear" w:color="000000" w:fill="F2F2F2"/>
            <w:vAlign w:val="center"/>
            <w:hideMark/>
          </w:tcPr>
          <w:p w14:paraId="0CAF413B" w14:textId="77777777" w:rsidR="00816A62" w:rsidRPr="00816A62" w:rsidRDefault="00816A62" w:rsidP="00816A62">
            <w:pPr>
              <w:spacing w:after="0" w:line="240" w:lineRule="auto"/>
              <w:jc w:val="right"/>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22,293,300,030.8</w:t>
            </w:r>
          </w:p>
        </w:tc>
      </w:tr>
      <w:tr w:rsidR="00816A62" w:rsidRPr="00816A62" w14:paraId="3CA10D7C" w14:textId="77777777" w:rsidTr="00816A62">
        <w:trPr>
          <w:trHeight w:val="235"/>
          <w:jc w:val="center"/>
        </w:trPr>
        <w:tc>
          <w:tcPr>
            <w:tcW w:w="6386" w:type="dxa"/>
            <w:tcBorders>
              <w:top w:val="nil"/>
              <w:left w:val="nil"/>
              <w:bottom w:val="nil"/>
              <w:right w:val="nil"/>
            </w:tcBorders>
            <w:shd w:val="clear" w:color="000000" w:fill="F2F2F2"/>
            <w:vAlign w:val="center"/>
            <w:hideMark/>
          </w:tcPr>
          <w:p w14:paraId="7C524499" w14:textId="77777777" w:rsidR="00816A62" w:rsidRPr="00816A62" w:rsidRDefault="00816A62" w:rsidP="00816A62">
            <w:pPr>
              <w:spacing w:after="0" w:line="240" w:lineRule="auto"/>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 xml:space="preserve">Otras Prestaciones Económicas </w:t>
            </w:r>
            <w:r w:rsidRPr="00816A62">
              <w:rPr>
                <w:rFonts w:ascii="Montserrat" w:eastAsia="Times New Roman" w:hAnsi="Montserrat"/>
                <w:b/>
                <w:bCs/>
                <w:color w:val="000000"/>
                <w:sz w:val="15"/>
                <w:szCs w:val="15"/>
                <w:lang w:val="es-MX" w:eastAsia="es-MX"/>
              </w:rPr>
              <w:t>(4.4.a.2)</w:t>
            </w:r>
          </w:p>
        </w:tc>
        <w:tc>
          <w:tcPr>
            <w:tcW w:w="2027" w:type="dxa"/>
            <w:tcBorders>
              <w:top w:val="nil"/>
              <w:left w:val="nil"/>
              <w:bottom w:val="nil"/>
              <w:right w:val="nil"/>
            </w:tcBorders>
            <w:shd w:val="clear" w:color="000000" w:fill="F2F2F2"/>
            <w:vAlign w:val="center"/>
            <w:hideMark/>
          </w:tcPr>
          <w:p w14:paraId="7B1E9784" w14:textId="77777777" w:rsidR="00816A62" w:rsidRPr="00816A62" w:rsidRDefault="00816A62" w:rsidP="00816A62">
            <w:pPr>
              <w:spacing w:after="0" w:line="240" w:lineRule="auto"/>
              <w:jc w:val="right"/>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17,985,410,410.3</w:t>
            </w:r>
          </w:p>
        </w:tc>
        <w:tc>
          <w:tcPr>
            <w:tcW w:w="1979" w:type="dxa"/>
            <w:tcBorders>
              <w:top w:val="nil"/>
              <w:left w:val="nil"/>
              <w:bottom w:val="nil"/>
              <w:right w:val="nil"/>
            </w:tcBorders>
            <w:shd w:val="clear" w:color="000000" w:fill="F2F2F2"/>
            <w:vAlign w:val="center"/>
            <w:hideMark/>
          </w:tcPr>
          <w:p w14:paraId="5FA79F8F" w14:textId="77777777" w:rsidR="00816A62" w:rsidRPr="00816A62" w:rsidRDefault="00816A62" w:rsidP="00816A62">
            <w:pPr>
              <w:spacing w:after="0" w:line="240" w:lineRule="auto"/>
              <w:jc w:val="right"/>
              <w:rPr>
                <w:rFonts w:ascii="Montserrat" w:eastAsia="Times New Roman" w:hAnsi="Montserrat"/>
                <w:color w:val="000000"/>
                <w:sz w:val="15"/>
                <w:szCs w:val="15"/>
                <w:lang w:val="es-MX" w:eastAsia="es-MX"/>
              </w:rPr>
            </w:pPr>
            <w:r w:rsidRPr="00816A62">
              <w:rPr>
                <w:rFonts w:ascii="Montserrat" w:eastAsia="Times New Roman" w:hAnsi="Montserrat"/>
                <w:color w:val="000000"/>
                <w:sz w:val="15"/>
                <w:szCs w:val="15"/>
                <w:lang w:val="es-MX" w:eastAsia="es-MX"/>
              </w:rPr>
              <w:t>14,960,846,383.3</w:t>
            </w:r>
          </w:p>
        </w:tc>
      </w:tr>
      <w:tr w:rsidR="00816A62" w:rsidRPr="00816A62" w14:paraId="0803ACE6" w14:textId="77777777" w:rsidTr="00816A62">
        <w:trPr>
          <w:trHeight w:val="246"/>
          <w:jc w:val="center"/>
        </w:trPr>
        <w:tc>
          <w:tcPr>
            <w:tcW w:w="6386" w:type="dxa"/>
            <w:tcBorders>
              <w:top w:val="nil"/>
              <w:left w:val="nil"/>
              <w:bottom w:val="single" w:sz="12" w:space="0" w:color="808080"/>
              <w:right w:val="nil"/>
            </w:tcBorders>
            <w:shd w:val="clear" w:color="000000" w:fill="F2F2F2"/>
            <w:vAlign w:val="center"/>
            <w:hideMark/>
          </w:tcPr>
          <w:p w14:paraId="098F3467" w14:textId="77777777" w:rsidR="00816A62" w:rsidRPr="00816A62" w:rsidRDefault="00816A62" w:rsidP="00816A62">
            <w:pPr>
              <w:spacing w:after="0" w:line="240" w:lineRule="auto"/>
              <w:rPr>
                <w:rFonts w:ascii="Montserrat" w:eastAsia="Times New Roman" w:hAnsi="Montserrat"/>
                <w:b/>
                <w:bCs/>
                <w:color w:val="000000"/>
                <w:sz w:val="15"/>
                <w:szCs w:val="15"/>
                <w:lang w:val="es-MX" w:eastAsia="es-MX"/>
              </w:rPr>
            </w:pPr>
            <w:r w:rsidRPr="00816A62">
              <w:rPr>
                <w:rFonts w:ascii="Montserrat" w:eastAsia="Times New Roman" w:hAnsi="Montserrat"/>
                <w:b/>
                <w:bCs/>
                <w:color w:val="000000"/>
                <w:sz w:val="15"/>
                <w:szCs w:val="15"/>
                <w:lang w:val="es-MX" w:eastAsia="es-MX"/>
              </w:rPr>
              <w:t>Total Otras Pensiones y Jubilaciones</w:t>
            </w:r>
          </w:p>
        </w:tc>
        <w:tc>
          <w:tcPr>
            <w:tcW w:w="2027" w:type="dxa"/>
            <w:tcBorders>
              <w:top w:val="nil"/>
              <w:left w:val="nil"/>
              <w:bottom w:val="single" w:sz="12" w:space="0" w:color="808080"/>
              <w:right w:val="nil"/>
            </w:tcBorders>
            <w:shd w:val="clear" w:color="000000" w:fill="F2F2F2"/>
            <w:vAlign w:val="center"/>
            <w:hideMark/>
          </w:tcPr>
          <w:p w14:paraId="55DA0B8A" w14:textId="77777777" w:rsidR="00816A62" w:rsidRPr="00816A62" w:rsidRDefault="00816A62" w:rsidP="00816A62">
            <w:pPr>
              <w:spacing w:after="0" w:line="240" w:lineRule="auto"/>
              <w:jc w:val="right"/>
              <w:rPr>
                <w:rFonts w:ascii="Montserrat" w:eastAsia="Times New Roman" w:hAnsi="Montserrat"/>
                <w:b/>
                <w:bCs/>
                <w:color w:val="000000"/>
                <w:sz w:val="15"/>
                <w:szCs w:val="15"/>
                <w:lang w:val="es-MX" w:eastAsia="es-MX"/>
              </w:rPr>
            </w:pPr>
            <w:r w:rsidRPr="00816A62">
              <w:rPr>
                <w:rFonts w:ascii="Montserrat" w:eastAsia="Times New Roman" w:hAnsi="Montserrat"/>
                <w:b/>
                <w:bCs/>
                <w:color w:val="000000"/>
                <w:sz w:val="15"/>
                <w:szCs w:val="15"/>
                <w:lang w:val="es-MX" w:eastAsia="es-MX"/>
              </w:rPr>
              <w:t>36,274,920,568.0</w:t>
            </w:r>
          </w:p>
        </w:tc>
        <w:tc>
          <w:tcPr>
            <w:tcW w:w="1979" w:type="dxa"/>
            <w:tcBorders>
              <w:top w:val="nil"/>
              <w:left w:val="nil"/>
              <w:bottom w:val="single" w:sz="12" w:space="0" w:color="808080"/>
              <w:right w:val="nil"/>
            </w:tcBorders>
            <w:shd w:val="clear" w:color="000000" w:fill="F2F2F2"/>
            <w:vAlign w:val="center"/>
            <w:hideMark/>
          </w:tcPr>
          <w:p w14:paraId="28F988D9" w14:textId="77777777" w:rsidR="00816A62" w:rsidRPr="00816A62" w:rsidRDefault="00816A62" w:rsidP="00816A62">
            <w:pPr>
              <w:spacing w:after="0" w:line="240" w:lineRule="auto"/>
              <w:jc w:val="right"/>
              <w:rPr>
                <w:rFonts w:ascii="Montserrat" w:eastAsia="Times New Roman" w:hAnsi="Montserrat"/>
                <w:b/>
                <w:bCs/>
                <w:color w:val="000000"/>
                <w:sz w:val="15"/>
                <w:szCs w:val="15"/>
                <w:lang w:val="es-MX" w:eastAsia="es-MX"/>
              </w:rPr>
            </w:pPr>
            <w:r w:rsidRPr="00816A62">
              <w:rPr>
                <w:rFonts w:ascii="Montserrat" w:eastAsia="Times New Roman" w:hAnsi="Montserrat"/>
                <w:b/>
                <w:bCs/>
                <w:color w:val="000000"/>
                <w:sz w:val="15"/>
                <w:szCs w:val="15"/>
                <w:lang w:val="es-MX" w:eastAsia="es-MX"/>
              </w:rPr>
              <w:t>37,254,146,414.1</w:t>
            </w:r>
          </w:p>
        </w:tc>
      </w:tr>
    </w:tbl>
    <w:p w14:paraId="100CB2A6" w14:textId="77777777" w:rsidR="009D5C48" w:rsidRDefault="009D5C48" w:rsidP="009D5C48">
      <w:pPr>
        <w:pStyle w:val="TEXTONORMAL"/>
      </w:pPr>
    </w:p>
    <w:p w14:paraId="522E3B88" w14:textId="77777777" w:rsidR="009D5C48" w:rsidRPr="009638EF" w:rsidRDefault="009D5C48" w:rsidP="003F2A12">
      <w:pPr>
        <w:pStyle w:val="TEXTONORMAL"/>
        <w:numPr>
          <w:ilvl w:val="0"/>
          <w:numId w:val="42"/>
        </w:numPr>
        <w:ind w:left="998" w:hanging="284"/>
      </w:pPr>
      <w:r>
        <w:rPr>
          <w:b/>
        </w:rPr>
        <w:t>4.4</w:t>
      </w:r>
      <w:r w:rsidRPr="00A67189">
        <w:rPr>
          <w:b/>
        </w:rPr>
        <w:t>.a.1)</w:t>
      </w:r>
      <w:r>
        <w:rPr>
          <w:b/>
        </w:rPr>
        <w:t xml:space="preserve"> </w:t>
      </w:r>
      <w:r w:rsidRPr="009638EF">
        <w:t xml:space="preserve">Las Otras Pensiones y Jubilaciones se integran por las sumas aseguradas con base en el artículo 120 de la LSS. </w:t>
      </w:r>
      <w:r w:rsidRPr="009638EF">
        <w:rPr>
          <w:rFonts w:eastAsia="Montserrat" w:cs="Montserrat"/>
        </w:rPr>
        <w:t>El incremento en el gasto de sumas aseguradas se explica principalmente por:</w:t>
      </w:r>
    </w:p>
    <w:p w14:paraId="52AEB735"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casos.</w:t>
      </w:r>
    </w:p>
    <w:p w14:paraId="13B74E30"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costo unitario, los principales factores que sobresalen son:</w:t>
      </w:r>
    </w:p>
    <w:p w14:paraId="7A3F4A6C" w14:textId="77777777" w:rsidR="009D5C48" w:rsidRPr="00AE07DE" w:rsidRDefault="009D5C48" w:rsidP="0043151F">
      <w:pPr>
        <w:pStyle w:val="Prrafodelista"/>
        <w:numPr>
          <w:ilvl w:val="1"/>
          <w:numId w:val="43"/>
        </w:numPr>
        <w:pBdr>
          <w:top w:val="nil"/>
          <w:left w:val="nil"/>
          <w:bottom w:val="nil"/>
          <w:right w:val="nil"/>
          <w:between w:val="nil"/>
        </w:pBdr>
        <w:spacing w:after="120" w:line="250" w:lineRule="exact"/>
        <w:contextualSpacing w:val="0"/>
        <w:jc w:val="both"/>
        <w:rPr>
          <w:color w:val="000000"/>
          <w:sz w:val="18"/>
          <w:szCs w:val="18"/>
        </w:rPr>
      </w:pPr>
      <w:r w:rsidRPr="00AE07DE">
        <w:rPr>
          <w:rFonts w:ascii="Montserrat" w:eastAsia="Montserrat" w:hAnsi="Montserrat" w:cs="Montserrat"/>
          <w:color w:val="000000"/>
          <w:sz w:val="18"/>
          <w:szCs w:val="18"/>
        </w:rPr>
        <w:t>Variación en la tasa de oferta.</w:t>
      </w:r>
    </w:p>
    <w:p w14:paraId="6916F9E8" w14:textId="77777777" w:rsidR="004B5651" w:rsidRPr="004E39CD" w:rsidRDefault="009D5C48" w:rsidP="0043151F">
      <w:pPr>
        <w:pStyle w:val="Prrafodelista"/>
        <w:numPr>
          <w:ilvl w:val="1"/>
          <w:numId w:val="43"/>
        </w:numPr>
        <w:pBdr>
          <w:top w:val="nil"/>
          <w:left w:val="nil"/>
          <w:bottom w:val="nil"/>
          <w:right w:val="nil"/>
          <w:between w:val="nil"/>
        </w:pBdr>
        <w:spacing w:after="120" w:line="250" w:lineRule="exact"/>
        <w:contextualSpacing w:val="0"/>
        <w:jc w:val="both"/>
        <w:rPr>
          <w:color w:val="000000"/>
          <w:sz w:val="18"/>
          <w:szCs w:val="18"/>
        </w:rPr>
      </w:pPr>
      <w:r w:rsidRPr="00AE07DE">
        <w:rPr>
          <w:rFonts w:ascii="Montserrat" w:eastAsia="Montserrat" w:hAnsi="Montserrat" w:cs="Montserrat"/>
          <w:color w:val="000000"/>
          <w:sz w:val="18"/>
          <w:szCs w:val="18"/>
        </w:rPr>
        <w:t>Incremento en salario base para el cálculo de la pensión.</w:t>
      </w:r>
    </w:p>
    <w:p w14:paraId="317E300B" w14:textId="77777777" w:rsidR="004E39CD" w:rsidRDefault="004E39CD"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5105EC03" w14:textId="77777777" w:rsidR="00C152D8" w:rsidRDefault="00C152D8"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6B3C1D02" w14:textId="77777777" w:rsidR="00BC2957" w:rsidRPr="004E39CD" w:rsidRDefault="00BC2957"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7C31C178" w14:textId="77777777" w:rsidR="009D5C48" w:rsidRDefault="009D5C48" w:rsidP="003F2A12">
      <w:pPr>
        <w:pStyle w:val="TEXTONORMAL"/>
        <w:numPr>
          <w:ilvl w:val="0"/>
          <w:numId w:val="44"/>
        </w:numPr>
        <w:ind w:left="998" w:hanging="284"/>
      </w:pPr>
      <w:r w:rsidRPr="009638EF">
        <w:rPr>
          <w:b/>
        </w:rPr>
        <w:lastRenderedPageBreak/>
        <w:t>4.4.a.2)</w:t>
      </w:r>
      <w:r w:rsidRPr="009638EF">
        <w:t xml:space="preserve"> Las Otras Prestaciones Económicas se analizan por ramo de seguro como sigue:</w:t>
      </w:r>
    </w:p>
    <w:p w14:paraId="1BD82097" w14:textId="77777777" w:rsidR="006B79E4" w:rsidRDefault="006B79E4" w:rsidP="006B79E4">
      <w:pPr>
        <w:pStyle w:val="TEXTONORMAL"/>
        <w:ind w:left="998"/>
      </w:pPr>
    </w:p>
    <w:tbl>
      <w:tblPr>
        <w:tblW w:w="10541" w:type="dxa"/>
        <w:jc w:val="center"/>
        <w:tblCellMar>
          <w:left w:w="70" w:type="dxa"/>
          <w:right w:w="70" w:type="dxa"/>
        </w:tblCellMar>
        <w:tblLook w:val="04A0" w:firstRow="1" w:lastRow="0" w:firstColumn="1" w:lastColumn="0" w:noHBand="0" w:noVBand="1"/>
      </w:tblPr>
      <w:tblGrid>
        <w:gridCol w:w="6478"/>
        <w:gridCol w:w="2056"/>
        <w:gridCol w:w="2007"/>
      </w:tblGrid>
      <w:tr w:rsidR="006B79E4" w:rsidRPr="006B79E4" w14:paraId="7A30168F" w14:textId="77777777" w:rsidTr="00E4106E">
        <w:trPr>
          <w:trHeight w:val="297"/>
          <w:jc w:val="center"/>
        </w:trPr>
        <w:tc>
          <w:tcPr>
            <w:tcW w:w="647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D670E68" w14:textId="77777777" w:rsidR="006B79E4" w:rsidRPr="006B79E4" w:rsidRDefault="006B79E4" w:rsidP="006B79E4">
            <w:pPr>
              <w:spacing w:after="0" w:line="240" w:lineRule="auto"/>
              <w:jc w:val="center"/>
              <w:rPr>
                <w:rFonts w:ascii="Montserrat" w:eastAsia="Times New Roman" w:hAnsi="Montserrat"/>
                <w:b/>
                <w:bCs/>
                <w:color w:val="FFFFFF"/>
                <w:sz w:val="16"/>
                <w:szCs w:val="16"/>
                <w:lang w:val="es-MX" w:eastAsia="es-MX"/>
              </w:rPr>
            </w:pPr>
            <w:r w:rsidRPr="006B79E4">
              <w:rPr>
                <w:rFonts w:ascii="Montserrat" w:eastAsia="Times New Roman" w:hAnsi="Montserrat"/>
                <w:b/>
                <w:bCs/>
                <w:color w:val="FFFFFF"/>
                <w:sz w:val="16"/>
                <w:szCs w:val="16"/>
                <w:lang w:val="es-MX" w:eastAsia="es-MX"/>
              </w:rPr>
              <w:t>Concepto</w:t>
            </w:r>
          </w:p>
        </w:tc>
        <w:tc>
          <w:tcPr>
            <w:tcW w:w="406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5A0858D" w14:textId="77777777" w:rsidR="006B79E4" w:rsidRPr="006B79E4" w:rsidRDefault="006B79E4" w:rsidP="006B79E4">
            <w:pPr>
              <w:spacing w:after="0" w:line="240" w:lineRule="auto"/>
              <w:jc w:val="center"/>
              <w:rPr>
                <w:rFonts w:ascii="Montserrat" w:eastAsia="Times New Roman" w:hAnsi="Montserrat"/>
                <w:b/>
                <w:bCs/>
                <w:color w:val="FFFFFF"/>
                <w:sz w:val="16"/>
                <w:szCs w:val="16"/>
                <w:lang w:val="es-MX" w:eastAsia="es-MX"/>
              </w:rPr>
            </w:pPr>
            <w:r w:rsidRPr="006B79E4">
              <w:rPr>
                <w:rFonts w:ascii="Montserrat" w:eastAsia="Times New Roman" w:hAnsi="Montserrat"/>
                <w:b/>
                <w:bCs/>
                <w:color w:val="FFFFFF"/>
                <w:sz w:val="16"/>
                <w:szCs w:val="16"/>
                <w:lang w:val="es-MX" w:eastAsia="es-MX"/>
              </w:rPr>
              <w:t>Cifras en pesos</w:t>
            </w:r>
          </w:p>
        </w:tc>
      </w:tr>
      <w:tr w:rsidR="006B79E4" w:rsidRPr="006B79E4" w14:paraId="5DC42A72" w14:textId="77777777" w:rsidTr="00E4106E">
        <w:trPr>
          <w:trHeight w:val="297"/>
          <w:jc w:val="center"/>
        </w:trPr>
        <w:tc>
          <w:tcPr>
            <w:tcW w:w="6478" w:type="dxa"/>
            <w:vMerge/>
            <w:tcBorders>
              <w:top w:val="single" w:sz="12" w:space="0" w:color="808080"/>
              <w:left w:val="single" w:sz="12" w:space="0" w:color="FFFFFF"/>
              <w:bottom w:val="double" w:sz="6" w:space="0" w:color="808080"/>
              <w:right w:val="single" w:sz="12" w:space="0" w:color="FFFFFF"/>
            </w:tcBorders>
            <w:vAlign w:val="center"/>
            <w:hideMark/>
          </w:tcPr>
          <w:p w14:paraId="21DE6FD3" w14:textId="77777777" w:rsidR="006B79E4" w:rsidRPr="006B79E4" w:rsidRDefault="006B79E4" w:rsidP="006B79E4">
            <w:pPr>
              <w:spacing w:after="0" w:line="240" w:lineRule="auto"/>
              <w:rPr>
                <w:rFonts w:ascii="Montserrat" w:eastAsia="Times New Roman" w:hAnsi="Montserrat"/>
                <w:b/>
                <w:bCs/>
                <w:color w:val="FFFFFF"/>
                <w:sz w:val="16"/>
                <w:szCs w:val="16"/>
                <w:lang w:val="es-MX" w:eastAsia="es-MX"/>
              </w:rPr>
            </w:pPr>
          </w:p>
        </w:tc>
        <w:tc>
          <w:tcPr>
            <w:tcW w:w="2056" w:type="dxa"/>
            <w:tcBorders>
              <w:top w:val="nil"/>
              <w:left w:val="nil"/>
              <w:bottom w:val="double" w:sz="6" w:space="0" w:color="808080"/>
              <w:right w:val="single" w:sz="12" w:space="0" w:color="FFFFFF"/>
            </w:tcBorders>
            <w:shd w:val="clear" w:color="000000" w:fill="D4C19C"/>
            <w:vAlign w:val="center"/>
            <w:hideMark/>
          </w:tcPr>
          <w:p w14:paraId="6D74BF80" w14:textId="77777777" w:rsidR="006B79E4" w:rsidRPr="006B79E4" w:rsidRDefault="006B79E4" w:rsidP="006B79E4">
            <w:pPr>
              <w:spacing w:after="0" w:line="240" w:lineRule="auto"/>
              <w:jc w:val="center"/>
              <w:rPr>
                <w:rFonts w:ascii="Montserrat" w:eastAsia="Times New Roman" w:hAnsi="Montserrat"/>
                <w:b/>
                <w:bCs/>
                <w:color w:val="FFFFFF"/>
                <w:sz w:val="16"/>
                <w:szCs w:val="16"/>
                <w:lang w:val="es-MX" w:eastAsia="es-MX"/>
              </w:rPr>
            </w:pPr>
            <w:r w:rsidRPr="006B79E4">
              <w:rPr>
                <w:rFonts w:ascii="Montserrat" w:eastAsia="Times New Roman" w:hAnsi="Montserrat"/>
                <w:b/>
                <w:bCs/>
                <w:color w:val="FFFFFF"/>
                <w:sz w:val="16"/>
                <w:szCs w:val="16"/>
                <w:lang w:val="es-MX" w:eastAsia="es-MX"/>
              </w:rPr>
              <w:t>2022</w:t>
            </w:r>
          </w:p>
        </w:tc>
        <w:tc>
          <w:tcPr>
            <w:tcW w:w="2007" w:type="dxa"/>
            <w:tcBorders>
              <w:top w:val="nil"/>
              <w:left w:val="nil"/>
              <w:bottom w:val="double" w:sz="6" w:space="0" w:color="808080"/>
              <w:right w:val="single" w:sz="12" w:space="0" w:color="FFFFFF"/>
            </w:tcBorders>
            <w:shd w:val="clear" w:color="000000" w:fill="D4C19C"/>
            <w:vAlign w:val="center"/>
            <w:hideMark/>
          </w:tcPr>
          <w:p w14:paraId="32E38723" w14:textId="77777777" w:rsidR="006B79E4" w:rsidRPr="006B79E4" w:rsidRDefault="006B79E4" w:rsidP="006B79E4">
            <w:pPr>
              <w:spacing w:after="0" w:line="240" w:lineRule="auto"/>
              <w:jc w:val="center"/>
              <w:rPr>
                <w:rFonts w:ascii="Montserrat" w:eastAsia="Times New Roman" w:hAnsi="Montserrat"/>
                <w:b/>
                <w:bCs/>
                <w:color w:val="FFFFFF"/>
                <w:sz w:val="16"/>
                <w:szCs w:val="16"/>
                <w:lang w:val="es-MX" w:eastAsia="es-MX"/>
              </w:rPr>
            </w:pPr>
            <w:r w:rsidRPr="006B79E4">
              <w:rPr>
                <w:rFonts w:ascii="Montserrat" w:eastAsia="Times New Roman" w:hAnsi="Montserrat"/>
                <w:b/>
                <w:bCs/>
                <w:color w:val="FFFFFF"/>
                <w:sz w:val="16"/>
                <w:szCs w:val="16"/>
                <w:lang w:val="es-MX" w:eastAsia="es-MX"/>
              </w:rPr>
              <w:t>2021</w:t>
            </w:r>
          </w:p>
        </w:tc>
      </w:tr>
      <w:tr w:rsidR="006B79E4" w:rsidRPr="006B79E4" w14:paraId="0250DD94" w14:textId="77777777" w:rsidTr="00E4106E">
        <w:trPr>
          <w:trHeight w:val="284"/>
          <w:jc w:val="center"/>
        </w:trPr>
        <w:tc>
          <w:tcPr>
            <w:tcW w:w="6478" w:type="dxa"/>
            <w:tcBorders>
              <w:top w:val="nil"/>
              <w:left w:val="nil"/>
              <w:bottom w:val="nil"/>
              <w:right w:val="nil"/>
            </w:tcBorders>
            <w:shd w:val="clear" w:color="000000" w:fill="F2F2F2"/>
            <w:vAlign w:val="center"/>
            <w:hideMark/>
          </w:tcPr>
          <w:p w14:paraId="499D445C" w14:textId="77777777" w:rsidR="006B79E4" w:rsidRPr="006B79E4" w:rsidRDefault="006B79E4" w:rsidP="006B79E4">
            <w:pPr>
              <w:spacing w:after="0" w:line="240" w:lineRule="auto"/>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Subsidio por Enfermedad</w:t>
            </w:r>
          </w:p>
        </w:tc>
        <w:tc>
          <w:tcPr>
            <w:tcW w:w="2056" w:type="dxa"/>
            <w:tcBorders>
              <w:top w:val="nil"/>
              <w:left w:val="nil"/>
              <w:bottom w:val="nil"/>
              <w:right w:val="nil"/>
            </w:tcBorders>
            <w:shd w:val="clear" w:color="000000" w:fill="F2F2F2"/>
            <w:vAlign w:val="center"/>
            <w:hideMark/>
          </w:tcPr>
          <w:p w14:paraId="31545B4F"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8,920,540,963.5</w:t>
            </w:r>
          </w:p>
        </w:tc>
        <w:tc>
          <w:tcPr>
            <w:tcW w:w="2007" w:type="dxa"/>
            <w:tcBorders>
              <w:top w:val="nil"/>
              <w:left w:val="nil"/>
              <w:bottom w:val="nil"/>
              <w:right w:val="nil"/>
            </w:tcBorders>
            <w:shd w:val="clear" w:color="000000" w:fill="F2F2F2"/>
            <w:vAlign w:val="center"/>
            <w:hideMark/>
          </w:tcPr>
          <w:p w14:paraId="0C3FB008"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7,593,458,458.5</w:t>
            </w:r>
          </w:p>
        </w:tc>
      </w:tr>
      <w:tr w:rsidR="006B79E4" w:rsidRPr="006B79E4" w14:paraId="3797FE6D" w14:textId="77777777" w:rsidTr="00E4106E">
        <w:trPr>
          <w:trHeight w:val="270"/>
          <w:jc w:val="center"/>
        </w:trPr>
        <w:tc>
          <w:tcPr>
            <w:tcW w:w="6478" w:type="dxa"/>
            <w:tcBorders>
              <w:top w:val="nil"/>
              <w:left w:val="nil"/>
              <w:bottom w:val="nil"/>
              <w:right w:val="nil"/>
            </w:tcBorders>
            <w:shd w:val="clear" w:color="000000" w:fill="F2F2F2"/>
            <w:vAlign w:val="center"/>
            <w:hideMark/>
          </w:tcPr>
          <w:p w14:paraId="735132DB" w14:textId="77777777" w:rsidR="006B79E4" w:rsidRPr="006B79E4" w:rsidRDefault="006B79E4" w:rsidP="006B79E4">
            <w:pPr>
              <w:spacing w:after="0" w:line="240" w:lineRule="auto"/>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Subsidio de Maternidad</w:t>
            </w:r>
          </w:p>
        </w:tc>
        <w:tc>
          <w:tcPr>
            <w:tcW w:w="2056" w:type="dxa"/>
            <w:tcBorders>
              <w:top w:val="nil"/>
              <w:left w:val="nil"/>
              <w:bottom w:val="nil"/>
              <w:right w:val="nil"/>
            </w:tcBorders>
            <w:shd w:val="clear" w:color="000000" w:fill="F2F2F2"/>
            <w:vAlign w:val="center"/>
            <w:hideMark/>
          </w:tcPr>
          <w:p w14:paraId="0D18EF54"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5,418,264,940.2</w:t>
            </w:r>
          </w:p>
        </w:tc>
        <w:tc>
          <w:tcPr>
            <w:tcW w:w="2007" w:type="dxa"/>
            <w:tcBorders>
              <w:top w:val="nil"/>
              <w:left w:val="nil"/>
              <w:bottom w:val="nil"/>
              <w:right w:val="nil"/>
            </w:tcBorders>
            <w:shd w:val="clear" w:color="000000" w:fill="F2F2F2"/>
            <w:vAlign w:val="center"/>
            <w:hideMark/>
          </w:tcPr>
          <w:p w14:paraId="10A225FC"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4,637,619,634.3</w:t>
            </w:r>
          </w:p>
        </w:tc>
      </w:tr>
      <w:tr w:rsidR="006B79E4" w:rsidRPr="006B79E4" w14:paraId="734EB0EC" w14:textId="77777777" w:rsidTr="00E4106E">
        <w:trPr>
          <w:trHeight w:val="270"/>
          <w:jc w:val="center"/>
        </w:trPr>
        <w:tc>
          <w:tcPr>
            <w:tcW w:w="6478" w:type="dxa"/>
            <w:tcBorders>
              <w:top w:val="nil"/>
              <w:left w:val="nil"/>
              <w:bottom w:val="nil"/>
              <w:right w:val="nil"/>
            </w:tcBorders>
            <w:shd w:val="clear" w:color="000000" w:fill="F2F2F2"/>
            <w:vAlign w:val="center"/>
            <w:hideMark/>
          </w:tcPr>
          <w:p w14:paraId="5D08792F" w14:textId="77777777" w:rsidR="006B79E4" w:rsidRPr="006B79E4" w:rsidRDefault="006B79E4" w:rsidP="006B79E4">
            <w:pPr>
              <w:spacing w:after="0" w:line="240" w:lineRule="auto"/>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Subsidio por Riesgo de Trabajo</w:t>
            </w:r>
          </w:p>
        </w:tc>
        <w:tc>
          <w:tcPr>
            <w:tcW w:w="2056" w:type="dxa"/>
            <w:tcBorders>
              <w:top w:val="nil"/>
              <w:left w:val="nil"/>
              <w:bottom w:val="nil"/>
              <w:right w:val="nil"/>
            </w:tcBorders>
            <w:shd w:val="clear" w:color="000000" w:fill="F2F2F2"/>
            <w:vAlign w:val="center"/>
            <w:hideMark/>
          </w:tcPr>
          <w:p w14:paraId="291DD4E5"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3,646,604,506.6</w:t>
            </w:r>
          </w:p>
        </w:tc>
        <w:tc>
          <w:tcPr>
            <w:tcW w:w="2007" w:type="dxa"/>
            <w:tcBorders>
              <w:top w:val="nil"/>
              <w:left w:val="nil"/>
              <w:bottom w:val="nil"/>
              <w:right w:val="nil"/>
            </w:tcBorders>
            <w:shd w:val="clear" w:color="000000" w:fill="F2F2F2"/>
            <w:vAlign w:val="center"/>
            <w:hideMark/>
          </w:tcPr>
          <w:p w14:paraId="787D2057" w14:textId="77777777" w:rsidR="006B79E4" w:rsidRPr="006B79E4" w:rsidRDefault="006B79E4" w:rsidP="006B79E4">
            <w:pPr>
              <w:spacing w:after="0" w:line="240" w:lineRule="auto"/>
              <w:jc w:val="right"/>
              <w:rPr>
                <w:rFonts w:ascii="Montserrat" w:eastAsia="Times New Roman" w:hAnsi="Montserrat"/>
                <w:color w:val="000000"/>
                <w:sz w:val="15"/>
                <w:szCs w:val="15"/>
                <w:lang w:val="es-MX" w:eastAsia="es-MX"/>
              </w:rPr>
            </w:pPr>
            <w:r w:rsidRPr="006B79E4">
              <w:rPr>
                <w:rFonts w:ascii="Montserrat" w:eastAsia="Times New Roman" w:hAnsi="Montserrat"/>
                <w:color w:val="000000"/>
                <w:sz w:val="15"/>
                <w:szCs w:val="15"/>
                <w:lang w:val="es-MX" w:eastAsia="es-MX"/>
              </w:rPr>
              <w:t>2,729,768,290.5</w:t>
            </w:r>
          </w:p>
        </w:tc>
      </w:tr>
      <w:tr w:rsidR="006B79E4" w:rsidRPr="006B79E4" w14:paraId="5DCE300B" w14:textId="77777777" w:rsidTr="00E4106E">
        <w:trPr>
          <w:trHeight w:val="284"/>
          <w:jc w:val="center"/>
        </w:trPr>
        <w:tc>
          <w:tcPr>
            <w:tcW w:w="6478" w:type="dxa"/>
            <w:tcBorders>
              <w:top w:val="nil"/>
              <w:left w:val="nil"/>
              <w:bottom w:val="single" w:sz="12" w:space="0" w:color="808080"/>
              <w:right w:val="nil"/>
            </w:tcBorders>
            <w:shd w:val="clear" w:color="000000" w:fill="F2F2F2"/>
            <w:vAlign w:val="center"/>
            <w:hideMark/>
          </w:tcPr>
          <w:p w14:paraId="2CE64FBD" w14:textId="77777777" w:rsidR="006B79E4" w:rsidRPr="006B79E4" w:rsidRDefault="006B79E4" w:rsidP="006B79E4">
            <w:pPr>
              <w:spacing w:after="0" w:line="240" w:lineRule="auto"/>
              <w:rPr>
                <w:rFonts w:ascii="Montserrat" w:eastAsia="Times New Roman" w:hAnsi="Montserrat"/>
                <w:b/>
                <w:bCs/>
                <w:color w:val="000000"/>
                <w:sz w:val="15"/>
                <w:szCs w:val="15"/>
                <w:lang w:val="es-MX" w:eastAsia="es-MX"/>
              </w:rPr>
            </w:pPr>
            <w:r w:rsidRPr="006B79E4">
              <w:rPr>
                <w:rFonts w:ascii="Montserrat" w:eastAsia="Times New Roman" w:hAnsi="Montserrat"/>
                <w:b/>
                <w:bCs/>
                <w:color w:val="000000"/>
                <w:sz w:val="15"/>
                <w:szCs w:val="15"/>
                <w:lang w:val="es-MX" w:eastAsia="es-MX"/>
              </w:rPr>
              <w:t>Total Otras Prestaciones Económicas</w:t>
            </w:r>
          </w:p>
        </w:tc>
        <w:tc>
          <w:tcPr>
            <w:tcW w:w="2056" w:type="dxa"/>
            <w:tcBorders>
              <w:top w:val="nil"/>
              <w:left w:val="nil"/>
              <w:bottom w:val="single" w:sz="12" w:space="0" w:color="808080"/>
              <w:right w:val="nil"/>
            </w:tcBorders>
            <w:shd w:val="clear" w:color="000000" w:fill="F2F2F2"/>
            <w:vAlign w:val="center"/>
            <w:hideMark/>
          </w:tcPr>
          <w:p w14:paraId="1A8DBED5" w14:textId="77777777" w:rsidR="006B79E4" w:rsidRPr="006B79E4" w:rsidRDefault="006B79E4" w:rsidP="006B79E4">
            <w:pPr>
              <w:spacing w:after="0" w:line="240" w:lineRule="auto"/>
              <w:jc w:val="right"/>
              <w:rPr>
                <w:rFonts w:ascii="Montserrat" w:eastAsia="Times New Roman" w:hAnsi="Montserrat"/>
                <w:b/>
                <w:bCs/>
                <w:color w:val="000000"/>
                <w:sz w:val="15"/>
                <w:szCs w:val="15"/>
                <w:lang w:val="es-MX" w:eastAsia="es-MX"/>
              </w:rPr>
            </w:pPr>
            <w:r w:rsidRPr="006B79E4">
              <w:rPr>
                <w:rFonts w:ascii="Montserrat" w:eastAsia="Times New Roman" w:hAnsi="Montserrat"/>
                <w:b/>
                <w:bCs/>
                <w:color w:val="000000"/>
                <w:sz w:val="15"/>
                <w:szCs w:val="15"/>
                <w:lang w:val="es-MX" w:eastAsia="es-MX"/>
              </w:rPr>
              <w:t>17,985,410,410.3</w:t>
            </w:r>
          </w:p>
        </w:tc>
        <w:tc>
          <w:tcPr>
            <w:tcW w:w="2007" w:type="dxa"/>
            <w:tcBorders>
              <w:top w:val="nil"/>
              <w:left w:val="nil"/>
              <w:bottom w:val="single" w:sz="12" w:space="0" w:color="808080"/>
              <w:right w:val="nil"/>
            </w:tcBorders>
            <w:shd w:val="clear" w:color="000000" w:fill="F2F2F2"/>
            <w:vAlign w:val="center"/>
            <w:hideMark/>
          </w:tcPr>
          <w:p w14:paraId="4ADEBB8F" w14:textId="77777777" w:rsidR="006B79E4" w:rsidRPr="006B79E4" w:rsidRDefault="006B79E4" w:rsidP="006B79E4">
            <w:pPr>
              <w:spacing w:after="0" w:line="240" w:lineRule="auto"/>
              <w:jc w:val="right"/>
              <w:rPr>
                <w:rFonts w:ascii="Montserrat" w:eastAsia="Times New Roman" w:hAnsi="Montserrat"/>
                <w:b/>
                <w:bCs/>
                <w:color w:val="000000"/>
                <w:sz w:val="15"/>
                <w:szCs w:val="15"/>
                <w:lang w:val="es-MX" w:eastAsia="es-MX"/>
              </w:rPr>
            </w:pPr>
            <w:r w:rsidRPr="006B79E4">
              <w:rPr>
                <w:rFonts w:ascii="Montserrat" w:eastAsia="Times New Roman" w:hAnsi="Montserrat"/>
                <w:b/>
                <w:bCs/>
                <w:color w:val="000000"/>
                <w:sz w:val="15"/>
                <w:szCs w:val="15"/>
                <w:lang w:val="es-MX" w:eastAsia="es-MX"/>
              </w:rPr>
              <w:t>14,960,846,383.3</w:t>
            </w:r>
          </w:p>
        </w:tc>
      </w:tr>
    </w:tbl>
    <w:p w14:paraId="4A1600B2" w14:textId="77777777" w:rsidR="006B79E4" w:rsidRDefault="006B79E4" w:rsidP="004B5651">
      <w:pPr>
        <w:pStyle w:val="TEXTONORMAL"/>
        <w:ind w:left="998"/>
      </w:pPr>
    </w:p>
    <w:p w14:paraId="49257951" w14:textId="77777777" w:rsidR="009D5C48" w:rsidRPr="009638EF" w:rsidRDefault="009D5C48" w:rsidP="00C16E7C">
      <w:pPr>
        <w:pStyle w:val="TEXTONORMAL"/>
      </w:pPr>
      <w:r w:rsidRPr="009638EF">
        <w:t>Las Otras Prestaciones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14:paraId="3DABEB4C" w14:textId="77777777" w:rsidR="006F55D1" w:rsidRDefault="009D5C48" w:rsidP="00C16E7C">
      <w:pPr>
        <w:spacing w:after="120" w:line="250" w:lineRule="exact"/>
        <w:jc w:val="both"/>
        <w:rPr>
          <w:rFonts w:ascii="Montserrat" w:eastAsia="Montserrat" w:hAnsi="Montserrat" w:cs="Montserrat"/>
          <w:sz w:val="18"/>
          <w:szCs w:val="18"/>
        </w:rPr>
      </w:pPr>
      <w:r w:rsidRPr="009638EF">
        <w:rPr>
          <w:rFonts w:ascii="Montserrat" w:eastAsia="Montserrat" w:hAnsi="Montserrat" w:cs="Montserrat"/>
          <w:sz w:val="18"/>
          <w:szCs w:val="18"/>
        </w:rPr>
        <w:t>Cabe señalar, que en el ramo de Enfermedad General se contabilizan las incapacidades por COVID-19, así como los permisos especiales por contingencia COVID-19 y las Incapacidades Temporales para Trabajo (ITT) por enfermedades respiratorias y otros padecimientos, por lo que se observan mayores crecimientos; mientras que los días subsidiados por Riesgos de Trabajo (RT) y Maternidad (Mat) se mantienen constantes e incluso un poco a la baja debido a la reducción de asegurados.</w:t>
      </w:r>
    </w:p>
    <w:p w14:paraId="076E9868" w14:textId="77777777" w:rsidR="004E39CD" w:rsidRPr="009638EF" w:rsidRDefault="004E39CD" w:rsidP="00C16E7C">
      <w:pPr>
        <w:spacing w:after="120" w:line="250" w:lineRule="exact"/>
        <w:jc w:val="both"/>
        <w:rPr>
          <w:rFonts w:ascii="Montserrat" w:eastAsia="Montserrat" w:hAnsi="Montserrat" w:cs="Montserrat"/>
          <w:sz w:val="18"/>
          <w:szCs w:val="18"/>
        </w:rPr>
      </w:pPr>
    </w:p>
    <w:p w14:paraId="38D9806F" w14:textId="77777777" w:rsidR="009D5C48" w:rsidRPr="002778C0" w:rsidRDefault="00F87332" w:rsidP="003F2A12">
      <w:pPr>
        <w:pStyle w:val="VIETAFLECHA"/>
        <w:numPr>
          <w:ilvl w:val="1"/>
          <w:numId w:val="39"/>
        </w:numPr>
        <w:ind w:left="357" w:hanging="357"/>
      </w:pPr>
      <w:r w:rsidRPr="008142BE">
        <w:rPr>
          <w:rFonts w:eastAsia="Times New Roman" w:cs="Arial"/>
          <w:b/>
          <w:color w:val="000000"/>
          <w:lang w:val="es-MX" w:eastAsia="es-MX"/>
        </w:rPr>
        <w:t>4.5</w:t>
      </w:r>
      <w:r>
        <w:rPr>
          <w:rFonts w:eastAsia="Times New Roman" w:cs="Arial"/>
          <w:color w:val="000000"/>
          <w:lang w:val="es-MX" w:eastAsia="es-MX"/>
        </w:rPr>
        <w:t xml:space="preserve"> </w:t>
      </w:r>
      <w:r w:rsidR="009D5C48" w:rsidRPr="002778C0">
        <w:rPr>
          <w:rFonts w:eastAsia="Times New Roman" w:cs="Arial"/>
          <w:color w:val="000000"/>
          <w:lang w:val="es-MX" w:eastAsia="es-MX"/>
        </w:rPr>
        <w:t>Estimaciones, Depreciaciones, Deterioros, Obsolescencia y Amortizaciones</w:t>
      </w:r>
    </w:p>
    <w:p w14:paraId="0B20F413" w14:textId="77777777" w:rsidR="009D5C48" w:rsidRDefault="009D5C48" w:rsidP="00C16E7C">
      <w:pPr>
        <w:pStyle w:val="TEXTONORMAL"/>
      </w:pPr>
      <w:r w:rsidRPr="001465AC">
        <w:t xml:space="preserve">Al </w:t>
      </w:r>
      <w:r w:rsidR="002A48BC">
        <w:t xml:space="preserve">30 de </w:t>
      </w:r>
      <w:r w:rsidR="00721D26">
        <w:t>septiembre</w:t>
      </w:r>
      <w:r w:rsidR="008E7400" w:rsidRPr="00C92890">
        <w:t xml:space="preserve"> de 2022 y 2021</w:t>
      </w:r>
      <w:r w:rsidRPr="001465AC">
        <w:t>, el rubro de Estimaciones, Depreciaciones, Deterioros, Obsolescencia y Amortizaciones, se integra como sigue:</w:t>
      </w:r>
    </w:p>
    <w:p w14:paraId="0A4036E7" w14:textId="77777777" w:rsidR="00E64E9D" w:rsidRDefault="00E64E9D" w:rsidP="00C16E7C">
      <w:pPr>
        <w:pStyle w:val="TEXTONORMAL"/>
      </w:pPr>
    </w:p>
    <w:tbl>
      <w:tblPr>
        <w:tblW w:w="10947" w:type="dxa"/>
        <w:jc w:val="center"/>
        <w:tblCellMar>
          <w:left w:w="70" w:type="dxa"/>
          <w:right w:w="70" w:type="dxa"/>
        </w:tblCellMar>
        <w:tblLook w:val="04A0" w:firstRow="1" w:lastRow="0" w:firstColumn="1" w:lastColumn="0" w:noHBand="0" w:noVBand="1"/>
      </w:tblPr>
      <w:tblGrid>
        <w:gridCol w:w="6727"/>
        <w:gridCol w:w="2135"/>
        <w:gridCol w:w="2085"/>
      </w:tblGrid>
      <w:tr w:rsidR="00E64E9D" w:rsidRPr="00E64E9D" w14:paraId="3A1C3723" w14:textId="77777777" w:rsidTr="00E4106E">
        <w:trPr>
          <w:trHeight w:val="321"/>
          <w:jc w:val="center"/>
        </w:trPr>
        <w:tc>
          <w:tcPr>
            <w:tcW w:w="672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C86DFA8" w14:textId="77777777" w:rsidR="00E64E9D" w:rsidRPr="00E64E9D" w:rsidRDefault="00E64E9D" w:rsidP="00E64E9D">
            <w:pPr>
              <w:spacing w:after="0" w:line="240" w:lineRule="auto"/>
              <w:jc w:val="center"/>
              <w:rPr>
                <w:rFonts w:ascii="Montserrat" w:eastAsia="Times New Roman" w:hAnsi="Montserrat"/>
                <w:b/>
                <w:bCs/>
                <w:color w:val="FFFFFF"/>
                <w:sz w:val="16"/>
                <w:szCs w:val="16"/>
                <w:lang w:val="es-MX" w:eastAsia="es-MX"/>
              </w:rPr>
            </w:pPr>
            <w:r w:rsidRPr="00E64E9D">
              <w:rPr>
                <w:rFonts w:ascii="Montserrat" w:eastAsia="Times New Roman" w:hAnsi="Montserrat"/>
                <w:b/>
                <w:bCs/>
                <w:color w:val="FFFFFF"/>
                <w:sz w:val="16"/>
                <w:szCs w:val="16"/>
                <w:lang w:val="es-MX" w:eastAsia="es-MX"/>
              </w:rPr>
              <w:t>Concepto</w:t>
            </w:r>
          </w:p>
        </w:tc>
        <w:tc>
          <w:tcPr>
            <w:tcW w:w="422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D3F2286" w14:textId="77777777" w:rsidR="00E64E9D" w:rsidRPr="00E64E9D" w:rsidRDefault="00E64E9D" w:rsidP="00E64E9D">
            <w:pPr>
              <w:spacing w:after="0" w:line="240" w:lineRule="auto"/>
              <w:jc w:val="center"/>
              <w:rPr>
                <w:rFonts w:ascii="Montserrat" w:eastAsia="Times New Roman" w:hAnsi="Montserrat"/>
                <w:b/>
                <w:bCs/>
                <w:color w:val="FFFFFF"/>
                <w:sz w:val="16"/>
                <w:szCs w:val="16"/>
                <w:lang w:val="es-MX" w:eastAsia="es-MX"/>
              </w:rPr>
            </w:pPr>
            <w:r w:rsidRPr="00E64E9D">
              <w:rPr>
                <w:rFonts w:ascii="Montserrat" w:eastAsia="Times New Roman" w:hAnsi="Montserrat"/>
                <w:b/>
                <w:bCs/>
                <w:color w:val="FFFFFF"/>
                <w:sz w:val="16"/>
                <w:szCs w:val="16"/>
                <w:lang w:val="es-MX" w:eastAsia="es-MX"/>
              </w:rPr>
              <w:t>Cifras en pesos</w:t>
            </w:r>
          </w:p>
        </w:tc>
      </w:tr>
      <w:tr w:rsidR="00E64E9D" w:rsidRPr="00E64E9D" w14:paraId="3BF5D8AC" w14:textId="77777777" w:rsidTr="00E4106E">
        <w:trPr>
          <w:trHeight w:val="321"/>
          <w:jc w:val="center"/>
        </w:trPr>
        <w:tc>
          <w:tcPr>
            <w:tcW w:w="6727" w:type="dxa"/>
            <w:vMerge/>
            <w:tcBorders>
              <w:top w:val="single" w:sz="12" w:space="0" w:color="808080"/>
              <w:left w:val="single" w:sz="12" w:space="0" w:color="FFFFFF"/>
              <w:bottom w:val="double" w:sz="6" w:space="0" w:color="808080"/>
              <w:right w:val="single" w:sz="12" w:space="0" w:color="FFFFFF"/>
            </w:tcBorders>
            <w:vAlign w:val="center"/>
            <w:hideMark/>
          </w:tcPr>
          <w:p w14:paraId="677C05FD" w14:textId="77777777" w:rsidR="00E64E9D" w:rsidRPr="00E64E9D" w:rsidRDefault="00E64E9D" w:rsidP="00E64E9D">
            <w:pPr>
              <w:spacing w:after="0" w:line="240" w:lineRule="auto"/>
              <w:rPr>
                <w:rFonts w:ascii="Montserrat" w:eastAsia="Times New Roman" w:hAnsi="Montserrat"/>
                <w:b/>
                <w:bCs/>
                <w:color w:val="FFFFFF"/>
                <w:sz w:val="16"/>
                <w:szCs w:val="16"/>
                <w:lang w:val="es-MX" w:eastAsia="es-MX"/>
              </w:rPr>
            </w:pPr>
          </w:p>
        </w:tc>
        <w:tc>
          <w:tcPr>
            <w:tcW w:w="2135" w:type="dxa"/>
            <w:tcBorders>
              <w:top w:val="nil"/>
              <w:left w:val="nil"/>
              <w:bottom w:val="double" w:sz="6" w:space="0" w:color="808080"/>
              <w:right w:val="single" w:sz="12" w:space="0" w:color="FFFFFF"/>
            </w:tcBorders>
            <w:shd w:val="clear" w:color="000000" w:fill="D4C19C"/>
            <w:vAlign w:val="center"/>
            <w:hideMark/>
          </w:tcPr>
          <w:p w14:paraId="1BFEB7AB" w14:textId="77777777" w:rsidR="00E64E9D" w:rsidRPr="00E64E9D" w:rsidRDefault="00E64E9D" w:rsidP="00E64E9D">
            <w:pPr>
              <w:spacing w:after="0" w:line="240" w:lineRule="auto"/>
              <w:jc w:val="center"/>
              <w:rPr>
                <w:rFonts w:ascii="Montserrat" w:eastAsia="Times New Roman" w:hAnsi="Montserrat"/>
                <w:b/>
                <w:bCs/>
                <w:color w:val="FFFFFF"/>
                <w:sz w:val="16"/>
                <w:szCs w:val="16"/>
                <w:lang w:val="es-MX" w:eastAsia="es-MX"/>
              </w:rPr>
            </w:pPr>
            <w:r w:rsidRPr="00E64E9D">
              <w:rPr>
                <w:rFonts w:ascii="Montserrat" w:eastAsia="Times New Roman" w:hAnsi="Montserrat"/>
                <w:b/>
                <w:bCs/>
                <w:color w:val="FFFFFF"/>
                <w:sz w:val="16"/>
                <w:szCs w:val="16"/>
                <w:lang w:val="es-MX" w:eastAsia="es-MX"/>
              </w:rPr>
              <w:t>2022</w:t>
            </w:r>
          </w:p>
        </w:tc>
        <w:tc>
          <w:tcPr>
            <w:tcW w:w="2085" w:type="dxa"/>
            <w:tcBorders>
              <w:top w:val="nil"/>
              <w:left w:val="nil"/>
              <w:bottom w:val="double" w:sz="6" w:space="0" w:color="808080"/>
              <w:right w:val="single" w:sz="12" w:space="0" w:color="FFFFFF"/>
            </w:tcBorders>
            <w:shd w:val="clear" w:color="000000" w:fill="D4C19C"/>
            <w:vAlign w:val="center"/>
            <w:hideMark/>
          </w:tcPr>
          <w:p w14:paraId="15D8DF29" w14:textId="77777777" w:rsidR="00E64E9D" w:rsidRPr="00E64E9D" w:rsidRDefault="00E64E9D" w:rsidP="00E64E9D">
            <w:pPr>
              <w:spacing w:after="0" w:line="240" w:lineRule="auto"/>
              <w:jc w:val="center"/>
              <w:rPr>
                <w:rFonts w:ascii="Montserrat" w:eastAsia="Times New Roman" w:hAnsi="Montserrat"/>
                <w:b/>
                <w:bCs/>
                <w:color w:val="FFFFFF"/>
                <w:sz w:val="16"/>
                <w:szCs w:val="16"/>
                <w:lang w:val="es-MX" w:eastAsia="es-MX"/>
              </w:rPr>
            </w:pPr>
            <w:r w:rsidRPr="00E64E9D">
              <w:rPr>
                <w:rFonts w:ascii="Montserrat" w:eastAsia="Times New Roman" w:hAnsi="Montserrat"/>
                <w:b/>
                <w:bCs/>
                <w:color w:val="FFFFFF"/>
                <w:sz w:val="16"/>
                <w:szCs w:val="16"/>
                <w:lang w:val="es-MX" w:eastAsia="es-MX"/>
              </w:rPr>
              <w:t>2021</w:t>
            </w:r>
          </w:p>
        </w:tc>
      </w:tr>
      <w:tr w:rsidR="00E64E9D" w:rsidRPr="00E64E9D" w14:paraId="141156FA" w14:textId="77777777" w:rsidTr="00E4106E">
        <w:trPr>
          <w:trHeight w:val="306"/>
          <w:jc w:val="center"/>
        </w:trPr>
        <w:tc>
          <w:tcPr>
            <w:tcW w:w="6727" w:type="dxa"/>
            <w:tcBorders>
              <w:top w:val="nil"/>
              <w:left w:val="nil"/>
              <w:bottom w:val="nil"/>
              <w:right w:val="nil"/>
            </w:tcBorders>
            <w:shd w:val="clear" w:color="000000" w:fill="F2F2F2"/>
            <w:vAlign w:val="center"/>
            <w:hideMark/>
          </w:tcPr>
          <w:p w14:paraId="618621D6" w14:textId="77777777" w:rsidR="00E64E9D" w:rsidRPr="00E64E9D" w:rsidRDefault="00E64E9D" w:rsidP="00E64E9D">
            <w:pPr>
              <w:spacing w:after="0" w:line="240" w:lineRule="auto"/>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 xml:space="preserve">Estimaciones por Pérdida o Deterioro de Activos Circulantes </w:t>
            </w:r>
            <w:r w:rsidRPr="00E64E9D">
              <w:rPr>
                <w:rFonts w:ascii="Montserrat" w:eastAsia="Times New Roman" w:hAnsi="Montserrat"/>
                <w:b/>
                <w:bCs/>
                <w:color w:val="000000"/>
                <w:sz w:val="15"/>
                <w:szCs w:val="15"/>
                <w:lang w:val="es-MX" w:eastAsia="es-MX"/>
              </w:rPr>
              <w:t>(4.5.a)</w:t>
            </w:r>
          </w:p>
        </w:tc>
        <w:tc>
          <w:tcPr>
            <w:tcW w:w="2135" w:type="dxa"/>
            <w:tcBorders>
              <w:top w:val="nil"/>
              <w:left w:val="nil"/>
              <w:bottom w:val="nil"/>
              <w:right w:val="nil"/>
            </w:tcBorders>
            <w:shd w:val="clear" w:color="000000" w:fill="F2F2F2"/>
            <w:vAlign w:val="center"/>
            <w:hideMark/>
          </w:tcPr>
          <w:p w14:paraId="71CD0966"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9,101,692,568.1</w:t>
            </w:r>
          </w:p>
        </w:tc>
        <w:tc>
          <w:tcPr>
            <w:tcW w:w="2085" w:type="dxa"/>
            <w:tcBorders>
              <w:top w:val="nil"/>
              <w:left w:val="nil"/>
              <w:bottom w:val="nil"/>
              <w:right w:val="nil"/>
            </w:tcBorders>
            <w:shd w:val="clear" w:color="000000" w:fill="F2F2F2"/>
            <w:vAlign w:val="center"/>
            <w:hideMark/>
          </w:tcPr>
          <w:p w14:paraId="61EE7527"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10,751,736,044.7</w:t>
            </w:r>
          </w:p>
        </w:tc>
      </w:tr>
      <w:tr w:rsidR="00E64E9D" w:rsidRPr="00E64E9D" w14:paraId="6CBB7251" w14:textId="77777777" w:rsidTr="00E4106E">
        <w:trPr>
          <w:trHeight w:val="292"/>
          <w:jc w:val="center"/>
        </w:trPr>
        <w:tc>
          <w:tcPr>
            <w:tcW w:w="6727" w:type="dxa"/>
            <w:tcBorders>
              <w:top w:val="nil"/>
              <w:left w:val="nil"/>
              <w:bottom w:val="nil"/>
              <w:right w:val="nil"/>
            </w:tcBorders>
            <w:shd w:val="clear" w:color="000000" w:fill="F2F2F2"/>
            <w:vAlign w:val="center"/>
            <w:hideMark/>
          </w:tcPr>
          <w:p w14:paraId="78426752" w14:textId="77777777" w:rsidR="00E64E9D" w:rsidRPr="00E64E9D" w:rsidRDefault="00E64E9D" w:rsidP="00E64E9D">
            <w:pPr>
              <w:spacing w:after="0" w:line="240" w:lineRule="auto"/>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Depreciación de Bienes Muebles</w:t>
            </w:r>
          </w:p>
        </w:tc>
        <w:tc>
          <w:tcPr>
            <w:tcW w:w="2135" w:type="dxa"/>
            <w:tcBorders>
              <w:top w:val="nil"/>
              <w:left w:val="nil"/>
              <w:bottom w:val="nil"/>
              <w:right w:val="nil"/>
            </w:tcBorders>
            <w:shd w:val="clear" w:color="000000" w:fill="F2F2F2"/>
            <w:vAlign w:val="center"/>
            <w:hideMark/>
          </w:tcPr>
          <w:p w14:paraId="26829EF7"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2,863,568,654.1</w:t>
            </w:r>
          </w:p>
        </w:tc>
        <w:tc>
          <w:tcPr>
            <w:tcW w:w="2085" w:type="dxa"/>
            <w:tcBorders>
              <w:top w:val="nil"/>
              <w:left w:val="nil"/>
              <w:bottom w:val="nil"/>
              <w:right w:val="nil"/>
            </w:tcBorders>
            <w:shd w:val="clear" w:color="000000" w:fill="F2F2F2"/>
            <w:vAlign w:val="center"/>
            <w:hideMark/>
          </w:tcPr>
          <w:p w14:paraId="7C192C0A"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3,159,173,267.3</w:t>
            </w:r>
          </w:p>
        </w:tc>
      </w:tr>
      <w:tr w:rsidR="00E64E9D" w:rsidRPr="00E64E9D" w14:paraId="6E75F461" w14:textId="77777777" w:rsidTr="00E4106E">
        <w:trPr>
          <w:trHeight w:val="292"/>
          <w:jc w:val="center"/>
        </w:trPr>
        <w:tc>
          <w:tcPr>
            <w:tcW w:w="6727" w:type="dxa"/>
            <w:tcBorders>
              <w:top w:val="nil"/>
              <w:left w:val="nil"/>
              <w:bottom w:val="nil"/>
              <w:right w:val="nil"/>
            </w:tcBorders>
            <w:shd w:val="clear" w:color="000000" w:fill="F2F2F2"/>
            <w:vAlign w:val="center"/>
            <w:hideMark/>
          </w:tcPr>
          <w:p w14:paraId="6E1D82D6" w14:textId="77777777" w:rsidR="00E64E9D" w:rsidRPr="00E64E9D" w:rsidRDefault="00E64E9D" w:rsidP="00E64E9D">
            <w:pPr>
              <w:spacing w:after="0" w:line="240" w:lineRule="auto"/>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Depreciación de Bienes Inmuebles</w:t>
            </w:r>
          </w:p>
        </w:tc>
        <w:tc>
          <w:tcPr>
            <w:tcW w:w="2135" w:type="dxa"/>
            <w:tcBorders>
              <w:top w:val="nil"/>
              <w:left w:val="nil"/>
              <w:bottom w:val="nil"/>
              <w:right w:val="nil"/>
            </w:tcBorders>
            <w:shd w:val="clear" w:color="000000" w:fill="F2F2F2"/>
            <w:vAlign w:val="center"/>
            <w:hideMark/>
          </w:tcPr>
          <w:p w14:paraId="7D313DDB"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535,869,429.4</w:t>
            </w:r>
          </w:p>
        </w:tc>
        <w:tc>
          <w:tcPr>
            <w:tcW w:w="2085" w:type="dxa"/>
            <w:tcBorders>
              <w:top w:val="nil"/>
              <w:left w:val="nil"/>
              <w:bottom w:val="nil"/>
              <w:right w:val="nil"/>
            </w:tcBorders>
            <w:shd w:val="clear" w:color="000000" w:fill="F2F2F2"/>
            <w:vAlign w:val="center"/>
            <w:hideMark/>
          </w:tcPr>
          <w:p w14:paraId="651EECF9"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333,607,368.9</w:t>
            </w:r>
          </w:p>
        </w:tc>
      </w:tr>
      <w:tr w:rsidR="00E64E9D" w:rsidRPr="00E64E9D" w14:paraId="0868E3E7" w14:textId="77777777" w:rsidTr="00E4106E">
        <w:trPr>
          <w:trHeight w:val="292"/>
          <w:jc w:val="center"/>
        </w:trPr>
        <w:tc>
          <w:tcPr>
            <w:tcW w:w="6727" w:type="dxa"/>
            <w:tcBorders>
              <w:top w:val="nil"/>
              <w:left w:val="nil"/>
              <w:bottom w:val="nil"/>
              <w:right w:val="nil"/>
            </w:tcBorders>
            <w:shd w:val="clear" w:color="000000" w:fill="F2F2F2"/>
            <w:vAlign w:val="center"/>
            <w:hideMark/>
          </w:tcPr>
          <w:p w14:paraId="3E2D2AF8" w14:textId="77777777" w:rsidR="00E64E9D" w:rsidRPr="00E64E9D" w:rsidRDefault="00E64E9D" w:rsidP="00E64E9D">
            <w:pPr>
              <w:spacing w:after="0" w:line="240" w:lineRule="auto"/>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Amortización de Activos Intangibles</w:t>
            </w:r>
          </w:p>
        </w:tc>
        <w:tc>
          <w:tcPr>
            <w:tcW w:w="2135" w:type="dxa"/>
            <w:tcBorders>
              <w:top w:val="nil"/>
              <w:left w:val="nil"/>
              <w:bottom w:val="nil"/>
              <w:right w:val="nil"/>
            </w:tcBorders>
            <w:shd w:val="clear" w:color="000000" w:fill="F2F2F2"/>
            <w:vAlign w:val="center"/>
            <w:hideMark/>
          </w:tcPr>
          <w:p w14:paraId="65D63E23"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0.0</w:t>
            </w:r>
          </w:p>
        </w:tc>
        <w:tc>
          <w:tcPr>
            <w:tcW w:w="2085" w:type="dxa"/>
            <w:tcBorders>
              <w:top w:val="nil"/>
              <w:left w:val="nil"/>
              <w:bottom w:val="nil"/>
              <w:right w:val="nil"/>
            </w:tcBorders>
            <w:shd w:val="clear" w:color="000000" w:fill="F2F2F2"/>
            <w:vAlign w:val="center"/>
            <w:hideMark/>
          </w:tcPr>
          <w:p w14:paraId="671AC0F2"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619,500.5</w:t>
            </w:r>
          </w:p>
        </w:tc>
      </w:tr>
      <w:tr w:rsidR="00E64E9D" w:rsidRPr="00E64E9D" w14:paraId="7F4EFC85" w14:textId="77777777" w:rsidTr="00E4106E">
        <w:trPr>
          <w:trHeight w:val="292"/>
          <w:jc w:val="center"/>
        </w:trPr>
        <w:tc>
          <w:tcPr>
            <w:tcW w:w="6727" w:type="dxa"/>
            <w:tcBorders>
              <w:top w:val="nil"/>
              <w:left w:val="nil"/>
              <w:bottom w:val="nil"/>
              <w:right w:val="nil"/>
            </w:tcBorders>
            <w:shd w:val="clear" w:color="000000" w:fill="F2F2F2"/>
            <w:vAlign w:val="center"/>
            <w:hideMark/>
          </w:tcPr>
          <w:p w14:paraId="3AFBBC2E" w14:textId="77777777" w:rsidR="00E64E9D" w:rsidRPr="00E64E9D" w:rsidRDefault="00E64E9D" w:rsidP="00E64E9D">
            <w:pPr>
              <w:spacing w:after="0" w:line="240" w:lineRule="auto"/>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Estimaciones por Pérdida o Deterioro de Activo no Circulante</w:t>
            </w:r>
          </w:p>
        </w:tc>
        <w:tc>
          <w:tcPr>
            <w:tcW w:w="2135" w:type="dxa"/>
            <w:tcBorders>
              <w:top w:val="nil"/>
              <w:left w:val="nil"/>
              <w:bottom w:val="nil"/>
              <w:right w:val="nil"/>
            </w:tcBorders>
            <w:shd w:val="clear" w:color="000000" w:fill="F2F2F2"/>
            <w:vAlign w:val="center"/>
            <w:hideMark/>
          </w:tcPr>
          <w:p w14:paraId="666F1171"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0.0</w:t>
            </w:r>
          </w:p>
        </w:tc>
        <w:tc>
          <w:tcPr>
            <w:tcW w:w="2085" w:type="dxa"/>
            <w:tcBorders>
              <w:top w:val="nil"/>
              <w:left w:val="nil"/>
              <w:bottom w:val="nil"/>
              <w:right w:val="nil"/>
            </w:tcBorders>
            <w:shd w:val="clear" w:color="000000" w:fill="F2F2F2"/>
            <w:vAlign w:val="center"/>
            <w:hideMark/>
          </w:tcPr>
          <w:p w14:paraId="4DFD08FF" w14:textId="77777777" w:rsidR="00E64E9D" w:rsidRPr="00E64E9D" w:rsidRDefault="00E64E9D" w:rsidP="00E64E9D">
            <w:pPr>
              <w:spacing w:after="0" w:line="240" w:lineRule="auto"/>
              <w:jc w:val="right"/>
              <w:rPr>
                <w:rFonts w:ascii="Montserrat" w:eastAsia="Times New Roman" w:hAnsi="Montserrat"/>
                <w:color w:val="000000"/>
                <w:sz w:val="15"/>
                <w:szCs w:val="15"/>
                <w:lang w:val="es-MX" w:eastAsia="es-MX"/>
              </w:rPr>
            </w:pPr>
            <w:r w:rsidRPr="00E64E9D">
              <w:rPr>
                <w:rFonts w:ascii="Montserrat" w:eastAsia="Times New Roman" w:hAnsi="Montserrat"/>
                <w:color w:val="000000"/>
                <w:sz w:val="15"/>
                <w:szCs w:val="15"/>
                <w:lang w:val="es-MX" w:eastAsia="es-MX"/>
              </w:rPr>
              <w:t>0.0</w:t>
            </w:r>
          </w:p>
        </w:tc>
      </w:tr>
      <w:tr w:rsidR="00E64E9D" w:rsidRPr="00E64E9D" w14:paraId="77F3AE39" w14:textId="77777777" w:rsidTr="00E4106E">
        <w:trPr>
          <w:trHeight w:val="394"/>
          <w:jc w:val="center"/>
        </w:trPr>
        <w:tc>
          <w:tcPr>
            <w:tcW w:w="6727" w:type="dxa"/>
            <w:tcBorders>
              <w:top w:val="nil"/>
              <w:left w:val="nil"/>
              <w:bottom w:val="single" w:sz="12" w:space="0" w:color="808080"/>
              <w:right w:val="nil"/>
            </w:tcBorders>
            <w:shd w:val="clear" w:color="000000" w:fill="F2F2F2"/>
            <w:vAlign w:val="center"/>
            <w:hideMark/>
          </w:tcPr>
          <w:p w14:paraId="143A6B03" w14:textId="77777777" w:rsidR="00E64E9D" w:rsidRPr="00E64E9D" w:rsidRDefault="00E64E9D" w:rsidP="00E64E9D">
            <w:pPr>
              <w:spacing w:after="0" w:line="240" w:lineRule="auto"/>
              <w:rPr>
                <w:rFonts w:ascii="Montserrat" w:eastAsia="Times New Roman" w:hAnsi="Montserrat"/>
                <w:b/>
                <w:bCs/>
                <w:color w:val="000000"/>
                <w:sz w:val="15"/>
                <w:szCs w:val="15"/>
                <w:lang w:val="es-MX" w:eastAsia="es-MX"/>
              </w:rPr>
            </w:pPr>
            <w:r w:rsidRPr="00E64E9D">
              <w:rPr>
                <w:rFonts w:ascii="Montserrat" w:eastAsia="Times New Roman" w:hAnsi="Montserrat"/>
                <w:b/>
                <w:bCs/>
                <w:color w:val="000000"/>
                <w:sz w:val="15"/>
                <w:szCs w:val="15"/>
                <w:lang w:val="es-MX" w:eastAsia="es-MX"/>
              </w:rPr>
              <w:t>Total Estimaciones, Depreciaciones, Deterioros, Obsolescencia y Amortizaciones</w:t>
            </w:r>
          </w:p>
        </w:tc>
        <w:tc>
          <w:tcPr>
            <w:tcW w:w="2135" w:type="dxa"/>
            <w:tcBorders>
              <w:top w:val="nil"/>
              <w:left w:val="nil"/>
              <w:bottom w:val="single" w:sz="12" w:space="0" w:color="808080"/>
              <w:right w:val="nil"/>
            </w:tcBorders>
            <w:shd w:val="clear" w:color="000000" w:fill="F2F2F2"/>
            <w:vAlign w:val="center"/>
            <w:hideMark/>
          </w:tcPr>
          <w:p w14:paraId="20280CC3" w14:textId="77777777" w:rsidR="00E64E9D" w:rsidRPr="00E64E9D" w:rsidRDefault="00E64E9D" w:rsidP="00E64E9D">
            <w:pPr>
              <w:spacing w:after="0" w:line="240" w:lineRule="auto"/>
              <w:jc w:val="right"/>
              <w:rPr>
                <w:rFonts w:ascii="Montserrat" w:eastAsia="Times New Roman" w:hAnsi="Montserrat"/>
                <w:b/>
                <w:bCs/>
                <w:color w:val="000000"/>
                <w:sz w:val="15"/>
                <w:szCs w:val="15"/>
                <w:lang w:val="es-MX" w:eastAsia="es-MX"/>
              </w:rPr>
            </w:pPr>
            <w:r w:rsidRPr="00E64E9D">
              <w:rPr>
                <w:rFonts w:ascii="Montserrat" w:eastAsia="Times New Roman" w:hAnsi="Montserrat"/>
                <w:b/>
                <w:bCs/>
                <w:color w:val="000000"/>
                <w:sz w:val="15"/>
                <w:szCs w:val="15"/>
                <w:lang w:val="es-MX" w:eastAsia="es-MX"/>
              </w:rPr>
              <w:t>12,501,130,651.6</w:t>
            </w:r>
          </w:p>
        </w:tc>
        <w:tc>
          <w:tcPr>
            <w:tcW w:w="2085" w:type="dxa"/>
            <w:tcBorders>
              <w:top w:val="nil"/>
              <w:left w:val="nil"/>
              <w:bottom w:val="single" w:sz="12" w:space="0" w:color="808080"/>
              <w:right w:val="nil"/>
            </w:tcBorders>
            <w:shd w:val="clear" w:color="000000" w:fill="F2F2F2"/>
            <w:vAlign w:val="center"/>
            <w:hideMark/>
          </w:tcPr>
          <w:p w14:paraId="3B7E50EF" w14:textId="77777777" w:rsidR="00E64E9D" w:rsidRPr="00E64E9D" w:rsidRDefault="00E64E9D" w:rsidP="00E64E9D">
            <w:pPr>
              <w:spacing w:after="0" w:line="240" w:lineRule="auto"/>
              <w:jc w:val="right"/>
              <w:rPr>
                <w:rFonts w:ascii="Montserrat" w:eastAsia="Times New Roman" w:hAnsi="Montserrat"/>
                <w:b/>
                <w:bCs/>
                <w:color w:val="000000"/>
                <w:sz w:val="15"/>
                <w:szCs w:val="15"/>
                <w:lang w:val="es-MX" w:eastAsia="es-MX"/>
              </w:rPr>
            </w:pPr>
            <w:r w:rsidRPr="00E64E9D">
              <w:rPr>
                <w:rFonts w:ascii="Montserrat" w:eastAsia="Times New Roman" w:hAnsi="Montserrat"/>
                <w:b/>
                <w:bCs/>
                <w:color w:val="000000"/>
                <w:sz w:val="15"/>
                <w:szCs w:val="15"/>
                <w:lang w:val="es-MX" w:eastAsia="es-MX"/>
              </w:rPr>
              <w:t>14,245,136,181.</w:t>
            </w:r>
            <w:r w:rsidR="00CB6DAC">
              <w:rPr>
                <w:rFonts w:ascii="Montserrat" w:eastAsia="Times New Roman" w:hAnsi="Montserrat"/>
                <w:b/>
                <w:bCs/>
                <w:color w:val="000000"/>
                <w:sz w:val="15"/>
                <w:szCs w:val="15"/>
                <w:lang w:val="es-MX" w:eastAsia="es-MX"/>
              </w:rPr>
              <w:t>4</w:t>
            </w:r>
          </w:p>
        </w:tc>
      </w:tr>
    </w:tbl>
    <w:p w14:paraId="5A6FB2E5" w14:textId="77777777" w:rsidR="006F55D1" w:rsidRDefault="006F55D1" w:rsidP="00C16E7C">
      <w:pPr>
        <w:pStyle w:val="TEXTONORMAL"/>
      </w:pPr>
    </w:p>
    <w:p w14:paraId="0A2EF481" w14:textId="77777777" w:rsidR="009D5C48" w:rsidRDefault="009D5C48" w:rsidP="003F2A12">
      <w:pPr>
        <w:pStyle w:val="TEXTONORMAL"/>
        <w:numPr>
          <w:ilvl w:val="0"/>
          <w:numId w:val="45"/>
        </w:numPr>
        <w:rPr>
          <w:lang w:val="es-MX"/>
        </w:rPr>
      </w:pPr>
      <w:r>
        <w:rPr>
          <w:rFonts w:eastAsia="Times New Roman"/>
          <w:b/>
          <w:color w:val="000000"/>
          <w:lang w:val="es-MX" w:eastAsia="es-MX"/>
        </w:rPr>
        <w:lastRenderedPageBreak/>
        <w:t>4.5.a</w:t>
      </w:r>
      <w:r w:rsidRPr="003535EF">
        <w:rPr>
          <w:rFonts w:eastAsia="Times New Roman"/>
          <w:b/>
          <w:color w:val="000000"/>
          <w:lang w:val="es-MX" w:eastAsia="es-MX"/>
        </w:rPr>
        <w:t>)</w:t>
      </w:r>
      <w:r w:rsidR="004D4E7E">
        <w:rPr>
          <w:lang w:val="es-MX"/>
        </w:rPr>
        <w:t xml:space="preserve"> De conformidad con los</w:t>
      </w:r>
      <w:r w:rsidRPr="003535EF">
        <w:rPr>
          <w:lang w:val="es-MX"/>
        </w:rPr>
        <w:t xml:space="preserve"> </w:t>
      </w:r>
      <w:r w:rsidR="004C1A21">
        <w:rPr>
          <w:lang w:val="es-MX"/>
        </w:rPr>
        <w:t>“Lineamientos C</w:t>
      </w:r>
      <w:r w:rsidR="004D4E7E">
        <w:rPr>
          <w:lang w:val="es-MX"/>
        </w:rPr>
        <w:t>ontables</w:t>
      </w:r>
      <w:r w:rsidR="004C1A21">
        <w:rPr>
          <w:lang w:val="es-MX"/>
        </w:rPr>
        <w:t>”</w:t>
      </w:r>
      <w:r w:rsidR="004D4E7E">
        <w:rPr>
          <w:lang w:val="es-MX"/>
        </w:rPr>
        <w:t>, inciso C</w:t>
      </w:r>
      <w:r w:rsidR="004D4E7E" w:rsidRPr="0030177F">
        <w:rPr>
          <w:lang w:val="es-MX"/>
        </w:rPr>
        <w:t xml:space="preserve"> </w:t>
      </w:r>
      <w:r w:rsidR="004D4E7E">
        <w:rPr>
          <w:lang w:val="es-MX"/>
        </w:rPr>
        <w:t>“</w:t>
      </w:r>
      <w:r w:rsidR="004D4E7E" w:rsidRPr="003535EF">
        <w:rPr>
          <w:lang w:val="es-MX"/>
        </w:rPr>
        <w:t>Est</w:t>
      </w:r>
      <w:r w:rsidR="004D4E7E">
        <w:rPr>
          <w:lang w:val="es-MX"/>
        </w:rPr>
        <w:t>imación de Cuentas Incobrables” del MCGSPF</w:t>
      </w:r>
      <w:r w:rsidRPr="003535EF">
        <w:rPr>
          <w:lang w:val="es-MX"/>
        </w:rPr>
        <w:t>, se estableció en 2021 una estimación de cobro dudoso, tomando en consideración la experiencia y el estatus de la recuperación de adeudos.</w:t>
      </w:r>
    </w:p>
    <w:p w14:paraId="4666AF43" w14:textId="77777777" w:rsidR="00596782" w:rsidRPr="00214D5B" w:rsidRDefault="00596782" w:rsidP="00A86421">
      <w:pPr>
        <w:pStyle w:val="TEXTONORMAL"/>
        <w:ind w:left="720"/>
        <w:rPr>
          <w:lang w:val="es-MX"/>
        </w:rPr>
      </w:pPr>
    </w:p>
    <w:p w14:paraId="6C5E723B" w14:textId="77777777" w:rsidR="009D5C48" w:rsidRPr="00700E7C" w:rsidRDefault="00DF437C" w:rsidP="003F2A12">
      <w:pPr>
        <w:pStyle w:val="VIETAFLECHA"/>
        <w:numPr>
          <w:ilvl w:val="1"/>
          <w:numId w:val="39"/>
        </w:numPr>
        <w:ind w:left="357" w:hanging="357"/>
      </w:pPr>
      <w:r w:rsidRPr="00EC0DD6">
        <w:rPr>
          <w:b/>
        </w:rPr>
        <w:t>4.6</w:t>
      </w:r>
      <w:r w:rsidRPr="00700E7C">
        <w:t xml:space="preserve"> </w:t>
      </w:r>
      <w:r w:rsidR="009D5C48" w:rsidRPr="00700E7C">
        <w:t>Provisiones</w:t>
      </w:r>
    </w:p>
    <w:p w14:paraId="7E5139EA" w14:textId="77777777" w:rsidR="009D5C48" w:rsidRDefault="009D5C48" w:rsidP="00C16E7C">
      <w:pPr>
        <w:pStyle w:val="TEXTONORMAL"/>
      </w:pPr>
      <w:r w:rsidRPr="00700E7C">
        <w:t xml:space="preserve">Al </w:t>
      </w:r>
      <w:r w:rsidR="00F44CBB">
        <w:t>30 de septiembre</w:t>
      </w:r>
      <w:r w:rsidR="008E7400" w:rsidRPr="00700E7C">
        <w:t xml:space="preserve"> de 2022 y 2021</w:t>
      </w:r>
      <w:r w:rsidRPr="00700E7C">
        <w:t>, las Provisiones se integran como sigue:</w:t>
      </w:r>
    </w:p>
    <w:p w14:paraId="0D27C936" w14:textId="77777777" w:rsidR="00567148" w:rsidRDefault="00567148" w:rsidP="00C16E7C">
      <w:pPr>
        <w:pStyle w:val="TEXTONORMAL"/>
      </w:pPr>
    </w:p>
    <w:tbl>
      <w:tblPr>
        <w:tblW w:w="11066" w:type="dxa"/>
        <w:jc w:val="center"/>
        <w:tblCellMar>
          <w:left w:w="70" w:type="dxa"/>
          <w:right w:w="70" w:type="dxa"/>
        </w:tblCellMar>
        <w:tblLook w:val="04A0" w:firstRow="1" w:lastRow="0" w:firstColumn="1" w:lastColumn="0" w:noHBand="0" w:noVBand="1"/>
      </w:tblPr>
      <w:tblGrid>
        <w:gridCol w:w="6800"/>
        <w:gridCol w:w="2158"/>
        <w:gridCol w:w="2108"/>
      </w:tblGrid>
      <w:tr w:rsidR="00567148" w:rsidRPr="00567148" w14:paraId="03833CA9" w14:textId="77777777" w:rsidTr="00567148">
        <w:trPr>
          <w:trHeight w:val="275"/>
          <w:jc w:val="center"/>
        </w:trPr>
        <w:tc>
          <w:tcPr>
            <w:tcW w:w="680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A5ED231" w14:textId="77777777" w:rsidR="00567148" w:rsidRPr="00567148" w:rsidRDefault="00567148" w:rsidP="00567148">
            <w:pPr>
              <w:spacing w:after="0" w:line="240" w:lineRule="auto"/>
              <w:jc w:val="center"/>
              <w:rPr>
                <w:rFonts w:ascii="Montserrat" w:eastAsia="Times New Roman" w:hAnsi="Montserrat"/>
                <w:b/>
                <w:bCs/>
                <w:color w:val="FFFFFF"/>
                <w:sz w:val="16"/>
                <w:szCs w:val="16"/>
                <w:lang w:val="es-MX" w:eastAsia="es-MX"/>
              </w:rPr>
            </w:pPr>
            <w:r w:rsidRPr="00567148">
              <w:rPr>
                <w:rFonts w:ascii="Montserrat" w:eastAsia="Times New Roman" w:hAnsi="Montserrat"/>
                <w:b/>
                <w:bCs/>
                <w:color w:val="FFFFFF"/>
                <w:sz w:val="16"/>
                <w:szCs w:val="16"/>
                <w:lang w:val="es-MX" w:eastAsia="es-MX"/>
              </w:rPr>
              <w:t>Concepto</w:t>
            </w:r>
          </w:p>
        </w:tc>
        <w:tc>
          <w:tcPr>
            <w:tcW w:w="426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2B276C5" w14:textId="77777777" w:rsidR="00567148" w:rsidRPr="00567148" w:rsidRDefault="00567148" w:rsidP="00567148">
            <w:pPr>
              <w:spacing w:after="0" w:line="240" w:lineRule="auto"/>
              <w:jc w:val="center"/>
              <w:rPr>
                <w:rFonts w:ascii="Montserrat" w:eastAsia="Times New Roman" w:hAnsi="Montserrat"/>
                <w:b/>
                <w:bCs/>
                <w:color w:val="FFFFFF"/>
                <w:sz w:val="16"/>
                <w:szCs w:val="16"/>
                <w:lang w:val="es-MX" w:eastAsia="es-MX"/>
              </w:rPr>
            </w:pPr>
            <w:r w:rsidRPr="00567148">
              <w:rPr>
                <w:rFonts w:ascii="Montserrat" w:eastAsia="Times New Roman" w:hAnsi="Montserrat"/>
                <w:b/>
                <w:bCs/>
                <w:color w:val="FFFFFF"/>
                <w:sz w:val="16"/>
                <w:szCs w:val="16"/>
                <w:lang w:val="es-MX" w:eastAsia="es-MX"/>
              </w:rPr>
              <w:t>Cifras en pesos</w:t>
            </w:r>
          </w:p>
        </w:tc>
      </w:tr>
      <w:tr w:rsidR="00567148" w:rsidRPr="00567148" w14:paraId="2AE5DEEA" w14:textId="77777777" w:rsidTr="00567148">
        <w:trPr>
          <w:trHeight w:val="275"/>
          <w:jc w:val="center"/>
        </w:trPr>
        <w:tc>
          <w:tcPr>
            <w:tcW w:w="6800" w:type="dxa"/>
            <w:vMerge/>
            <w:tcBorders>
              <w:top w:val="single" w:sz="12" w:space="0" w:color="808080"/>
              <w:left w:val="single" w:sz="12" w:space="0" w:color="FFFFFF"/>
              <w:bottom w:val="double" w:sz="6" w:space="0" w:color="808080"/>
              <w:right w:val="single" w:sz="12" w:space="0" w:color="FFFFFF"/>
            </w:tcBorders>
            <w:vAlign w:val="center"/>
            <w:hideMark/>
          </w:tcPr>
          <w:p w14:paraId="5CBAD1BF" w14:textId="77777777" w:rsidR="00567148" w:rsidRPr="00567148" w:rsidRDefault="00567148" w:rsidP="00567148">
            <w:pPr>
              <w:spacing w:after="0" w:line="240" w:lineRule="auto"/>
              <w:rPr>
                <w:rFonts w:ascii="Montserrat" w:eastAsia="Times New Roman" w:hAnsi="Montserrat"/>
                <w:b/>
                <w:bCs/>
                <w:color w:val="FFFFFF"/>
                <w:sz w:val="16"/>
                <w:szCs w:val="16"/>
                <w:lang w:val="es-MX" w:eastAsia="es-MX"/>
              </w:rPr>
            </w:pPr>
          </w:p>
        </w:tc>
        <w:tc>
          <w:tcPr>
            <w:tcW w:w="2158" w:type="dxa"/>
            <w:tcBorders>
              <w:top w:val="nil"/>
              <w:left w:val="nil"/>
              <w:bottom w:val="double" w:sz="6" w:space="0" w:color="808080"/>
              <w:right w:val="single" w:sz="12" w:space="0" w:color="FFFFFF"/>
            </w:tcBorders>
            <w:shd w:val="clear" w:color="000000" w:fill="D4C19C"/>
            <w:vAlign w:val="center"/>
            <w:hideMark/>
          </w:tcPr>
          <w:p w14:paraId="060D68A1" w14:textId="77777777" w:rsidR="00567148" w:rsidRPr="00567148" w:rsidRDefault="00567148" w:rsidP="00567148">
            <w:pPr>
              <w:spacing w:after="0" w:line="240" w:lineRule="auto"/>
              <w:jc w:val="center"/>
              <w:rPr>
                <w:rFonts w:ascii="Montserrat" w:eastAsia="Times New Roman" w:hAnsi="Montserrat"/>
                <w:b/>
                <w:bCs/>
                <w:color w:val="FFFFFF"/>
                <w:sz w:val="16"/>
                <w:szCs w:val="16"/>
                <w:lang w:val="es-MX" w:eastAsia="es-MX"/>
              </w:rPr>
            </w:pPr>
            <w:r w:rsidRPr="00567148">
              <w:rPr>
                <w:rFonts w:ascii="Montserrat" w:eastAsia="Times New Roman" w:hAnsi="Montserrat"/>
                <w:b/>
                <w:bCs/>
                <w:color w:val="FFFFFF"/>
                <w:sz w:val="16"/>
                <w:szCs w:val="16"/>
                <w:lang w:val="es-MX" w:eastAsia="es-MX"/>
              </w:rPr>
              <w:t>2022</w:t>
            </w:r>
          </w:p>
        </w:tc>
        <w:tc>
          <w:tcPr>
            <w:tcW w:w="2108" w:type="dxa"/>
            <w:tcBorders>
              <w:top w:val="nil"/>
              <w:left w:val="nil"/>
              <w:bottom w:val="double" w:sz="6" w:space="0" w:color="808080"/>
              <w:right w:val="single" w:sz="12" w:space="0" w:color="FFFFFF"/>
            </w:tcBorders>
            <w:shd w:val="clear" w:color="000000" w:fill="D4C19C"/>
            <w:vAlign w:val="center"/>
            <w:hideMark/>
          </w:tcPr>
          <w:p w14:paraId="4B738C9A" w14:textId="77777777" w:rsidR="00567148" w:rsidRPr="00567148" w:rsidRDefault="00567148" w:rsidP="00567148">
            <w:pPr>
              <w:spacing w:after="0" w:line="240" w:lineRule="auto"/>
              <w:jc w:val="center"/>
              <w:rPr>
                <w:rFonts w:ascii="Montserrat" w:eastAsia="Times New Roman" w:hAnsi="Montserrat"/>
                <w:b/>
                <w:bCs/>
                <w:color w:val="FFFFFF"/>
                <w:sz w:val="16"/>
                <w:szCs w:val="16"/>
                <w:lang w:val="es-MX" w:eastAsia="es-MX"/>
              </w:rPr>
            </w:pPr>
            <w:r w:rsidRPr="00567148">
              <w:rPr>
                <w:rFonts w:ascii="Montserrat" w:eastAsia="Times New Roman" w:hAnsi="Montserrat"/>
                <w:b/>
                <w:bCs/>
                <w:color w:val="FFFFFF"/>
                <w:sz w:val="16"/>
                <w:szCs w:val="16"/>
                <w:lang w:val="es-MX" w:eastAsia="es-MX"/>
              </w:rPr>
              <w:t>2021</w:t>
            </w:r>
          </w:p>
        </w:tc>
      </w:tr>
      <w:tr w:rsidR="00567148" w:rsidRPr="00567148" w14:paraId="5CEB28DA" w14:textId="77777777" w:rsidTr="00567148">
        <w:trPr>
          <w:trHeight w:val="262"/>
          <w:jc w:val="center"/>
        </w:trPr>
        <w:tc>
          <w:tcPr>
            <w:tcW w:w="6800" w:type="dxa"/>
            <w:tcBorders>
              <w:top w:val="nil"/>
              <w:left w:val="nil"/>
              <w:bottom w:val="nil"/>
              <w:right w:val="nil"/>
            </w:tcBorders>
            <w:shd w:val="clear" w:color="000000" w:fill="F2F2F2"/>
            <w:vAlign w:val="center"/>
            <w:hideMark/>
          </w:tcPr>
          <w:p w14:paraId="4FA59139"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Reserva de Operación para Contingencias y Financiamiento (ROCF)</w:t>
            </w:r>
          </w:p>
        </w:tc>
        <w:tc>
          <w:tcPr>
            <w:tcW w:w="2158" w:type="dxa"/>
            <w:tcBorders>
              <w:top w:val="nil"/>
              <w:left w:val="nil"/>
              <w:bottom w:val="nil"/>
              <w:right w:val="nil"/>
            </w:tcBorders>
            <w:shd w:val="clear" w:color="000000" w:fill="F2F2F2"/>
            <w:vAlign w:val="center"/>
            <w:hideMark/>
          </w:tcPr>
          <w:p w14:paraId="1DC105DC"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4,533,635,108.5</w:t>
            </w:r>
          </w:p>
        </w:tc>
        <w:tc>
          <w:tcPr>
            <w:tcW w:w="2108" w:type="dxa"/>
            <w:tcBorders>
              <w:top w:val="nil"/>
              <w:left w:val="nil"/>
              <w:bottom w:val="nil"/>
              <w:right w:val="nil"/>
            </w:tcBorders>
            <w:shd w:val="clear" w:color="000000" w:fill="F2F2F2"/>
            <w:vAlign w:val="center"/>
            <w:hideMark/>
          </w:tcPr>
          <w:p w14:paraId="110A8DB6"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1,641,802,108.2</w:t>
            </w:r>
          </w:p>
        </w:tc>
      </w:tr>
      <w:tr w:rsidR="00567148" w:rsidRPr="00567148" w14:paraId="1F0666D3" w14:textId="77777777" w:rsidTr="00567148">
        <w:trPr>
          <w:trHeight w:val="250"/>
          <w:jc w:val="center"/>
        </w:trPr>
        <w:tc>
          <w:tcPr>
            <w:tcW w:w="6800" w:type="dxa"/>
            <w:tcBorders>
              <w:top w:val="nil"/>
              <w:left w:val="nil"/>
              <w:bottom w:val="nil"/>
              <w:right w:val="nil"/>
            </w:tcBorders>
            <w:shd w:val="clear" w:color="000000" w:fill="F2F2F2"/>
            <w:vAlign w:val="center"/>
            <w:hideMark/>
          </w:tcPr>
          <w:p w14:paraId="448B13B4"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 xml:space="preserve">RFA Invalidez y Vida </w:t>
            </w:r>
          </w:p>
        </w:tc>
        <w:tc>
          <w:tcPr>
            <w:tcW w:w="2158" w:type="dxa"/>
            <w:tcBorders>
              <w:top w:val="nil"/>
              <w:left w:val="nil"/>
              <w:bottom w:val="nil"/>
              <w:right w:val="nil"/>
            </w:tcBorders>
            <w:shd w:val="clear" w:color="000000" w:fill="F2F2F2"/>
            <w:vAlign w:val="center"/>
            <w:hideMark/>
          </w:tcPr>
          <w:p w14:paraId="267FB86F"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1,626,748,577.8</w:t>
            </w:r>
          </w:p>
        </w:tc>
        <w:tc>
          <w:tcPr>
            <w:tcW w:w="2108" w:type="dxa"/>
            <w:tcBorders>
              <w:top w:val="nil"/>
              <w:left w:val="nil"/>
              <w:bottom w:val="nil"/>
              <w:right w:val="nil"/>
            </w:tcBorders>
            <w:shd w:val="clear" w:color="000000" w:fill="F2F2F2"/>
            <w:vAlign w:val="center"/>
            <w:hideMark/>
          </w:tcPr>
          <w:p w14:paraId="0CD33E36"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1,989,145,266.5</w:t>
            </w:r>
          </w:p>
        </w:tc>
      </w:tr>
      <w:tr w:rsidR="00567148" w:rsidRPr="00567148" w14:paraId="7051244C" w14:textId="77777777" w:rsidTr="00567148">
        <w:trPr>
          <w:trHeight w:val="250"/>
          <w:jc w:val="center"/>
        </w:trPr>
        <w:tc>
          <w:tcPr>
            <w:tcW w:w="6800" w:type="dxa"/>
            <w:tcBorders>
              <w:top w:val="nil"/>
              <w:left w:val="nil"/>
              <w:bottom w:val="nil"/>
              <w:right w:val="nil"/>
            </w:tcBorders>
            <w:shd w:val="clear" w:color="000000" w:fill="F2F2F2"/>
            <w:vAlign w:val="center"/>
            <w:hideMark/>
          </w:tcPr>
          <w:p w14:paraId="53A371E3"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 xml:space="preserve">RFA Riesgos de Trabajo </w:t>
            </w:r>
          </w:p>
        </w:tc>
        <w:tc>
          <w:tcPr>
            <w:tcW w:w="2158" w:type="dxa"/>
            <w:tcBorders>
              <w:top w:val="nil"/>
              <w:left w:val="nil"/>
              <w:bottom w:val="nil"/>
              <w:right w:val="nil"/>
            </w:tcBorders>
            <w:shd w:val="clear" w:color="000000" w:fill="F2F2F2"/>
            <w:vAlign w:val="center"/>
            <w:hideMark/>
          </w:tcPr>
          <w:p w14:paraId="4054E503"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1,292,796,360.1</w:t>
            </w:r>
          </w:p>
        </w:tc>
        <w:tc>
          <w:tcPr>
            <w:tcW w:w="2108" w:type="dxa"/>
            <w:tcBorders>
              <w:top w:val="nil"/>
              <w:left w:val="nil"/>
              <w:bottom w:val="nil"/>
              <w:right w:val="nil"/>
            </w:tcBorders>
            <w:shd w:val="clear" w:color="000000" w:fill="F2F2F2"/>
            <w:vAlign w:val="center"/>
            <w:hideMark/>
          </w:tcPr>
          <w:p w14:paraId="13E26BE0"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1,550,219,760.5</w:t>
            </w:r>
          </w:p>
        </w:tc>
      </w:tr>
      <w:tr w:rsidR="00567148" w:rsidRPr="00567148" w14:paraId="780735C2" w14:textId="77777777" w:rsidTr="00567148">
        <w:trPr>
          <w:trHeight w:val="250"/>
          <w:jc w:val="center"/>
        </w:trPr>
        <w:tc>
          <w:tcPr>
            <w:tcW w:w="6800" w:type="dxa"/>
            <w:tcBorders>
              <w:top w:val="nil"/>
              <w:left w:val="nil"/>
              <w:bottom w:val="nil"/>
              <w:right w:val="nil"/>
            </w:tcBorders>
            <w:shd w:val="clear" w:color="000000" w:fill="F2F2F2"/>
            <w:vAlign w:val="center"/>
            <w:hideMark/>
          </w:tcPr>
          <w:p w14:paraId="73EA7317"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Reserva General Financiera y Actuarial (RGFA)</w:t>
            </w:r>
          </w:p>
        </w:tc>
        <w:tc>
          <w:tcPr>
            <w:tcW w:w="2158" w:type="dxa"/>
            <w:tcBorders>
              <w:top w:val="nil"/>
              <w:left w:val="nil"/>
              <w:bottom w:val="nil"/>
              <w:right w:val="nil"/>
            </w:tcBorders>
            <w:shd w:val="clear" w:color="000000" w:fill="F2F2F2"/>
            <w:vAlign w:val="center"/>
            <w:hideMark/>
          </w:tcPr>
          <w:p w14:paraId="044E2063"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547,390,024.3</w:t>
            </w:r>
          </w:p>
        </w:tc>
        <w:tc>
          <w:tcPr>
            <w:tcW w:w="2108" w:type="dxa"/>
            <w:tcBorders>
              <w:top w:val="nil"/>
              <w:left w:val="nil"/>
              <w:bottom w:val="nil"/>
              <w:right w:val="nil"/>
            </w:tcBorders>
            <w:shd w:val="clear" w:color="000000" w:fill="F2F2F2"/>
            <w:vAlign w:val="center"/>
            <w:hideMark/>
          </w:tcPr>
          <w:p w14:paraId="443D2026"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355,029,382.7</w:t>
            </w:r>
          </w:p>
        </w:tc>
      </w:tr>
      <w:tr w:rsidR="00567148" w:rsidRPr="00567148" w14:paraId="2CF6501D" w14:textId="77777777" w:rsidTr="00567148">
        <w:trPr>
          <w:trHeight w:val="250"/>
          <w:jc w:val="center"/>
        </w:trPr>
        <w:tc>
          <w:tcPr>
            <w:tcW w:w="6800" w:type="dxa"/>
            <w:tcBorders>
              <w:top w:val="nil"/>
              <w:left w:val="nil"/>
              <w:bottom w:val="nil"/>
              <w:right w:val="nil"/>
            </w:tcBorders>
            <w:shd w:val="clear" w:color="000000" w:fill="F2F2F2"/>
            <w:vAlign w:val="center"/>
            <w:hideMark/>
          </w:tcPr>
          <w:p w14:paraId="47A63927"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Fondo Laboral Subcuenta 1 (RJPS1)</w:t>
            </w:r>
          </w:p>
        </w:tc>
        <w:tc>
          <w:tcPr>
            <w:tcW w:w="2158" w:type="dxa"/>
            <w:tcBorders>
              <w:top w:val="nil"/>
              <w:left w:val="nil"/>
              <w:bottom w:val="nil"/>
              <w:right w:val="nil"/>
            </w:tcBorders>
            <w:shd w:val="clear" w:color="000000" w:fill="F2F2F2"/>
            <w:vAlign w:val="center"/>
            <w:hideMark/>
          </w:tcPr>
          <w:p w14:paraId="4EEB79BD"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0.0</w:t>
            </w:r>
          </w:p>
        </w:tc>
        <w:tc>
          <w:tcPr>
            <w:tcW w:w="2108" w:type="dxa"/>
            <w:tcBorders>
              <w:top w:val="nil"/>
              <w:left w:val="nil"/>
              <w:bottom w:val="nil"/>
              <w:right w:val="nil"/>
            </w:tcBorders>
            <w:shd w:val="clear" w:color="000000" w:fill="F2F2F2"/>
            <w:vAlign w:val="center"/>
            <w:hideMark/>
          </w:tcPr>
          <w:p w14:paraId="3AAA2911"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116,978,275.5</w:t>
            </w:r>
          </w:p>
        </w:tc>
      </w:tr>
      <w:tr w:rsidR="00567148" w:rsidRPr="00567148" w14:paraId="72CF6984" w14:textId="77777777" w:rsidTr="00567148">
        <w:trPr>
          <w:trHeight w:val="250"/>
          <w:jc w:val="center"/>
        </w:trPr>
        <w:tc>
          <w:tcPr>
            <w:tcW w:w="6800" w:type="dxa"/>
            <w:tcBorders>
              <w:top w:val="nil"/>
              <w:left w:val="nil"/>
              <w:bottom w:val="nil"/>
              <w:right w:val="nil"/>
            </w:tcBorders>
            <w:shd w:val="clear" w:color="000000" w:fill="F2F2F2"/>
            <w:vAlign w:val="center"/>
            <w:hideMark/>
          </w:tcPr>
          <w:p w14:paraId="006C2156"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RFA Gastos Médicos a Pensionados</w:t>
            </w:r>
          </w:p>
        </w:tc>
        <w:tc>
          <w:tcPr>
            <w:tcW w:w="2158" w:type="dxa"/>
            <w:tcBorders>
              <w:top w:val="nil"/>
              <w:left w:val="nil"/>
              <w:bottom w:val="nil"/>
              <w:right w:val="nil"/>
            </w:tcBorders>
            <w:shd w:val="clear" w:color="000000" w:fill="F2F2F2"/>
            <w:vAlign w:val="center"/>
            <w:hideMark/>
          </w:tcPr>
          <w:p w14:paraId="4F478794"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1,074,214,027.0</w:t>
            </w:r>
          </w:p>
        </w:tc>
        <w:tc>
          <w:tcPr>
            <w:tcW w:w="2108" w:type="dxa"/>
            <w:tcBorders>
              <w:top w:val="nil"/>
              <w:left w:val="nil"/>
              <w:bottom w:val="nil"/>
              <w:right w:val="nil"/>
            </w:tcBorders>
            <w:shd w:val="clear" w:color="000000" w:fill="F2F2F2"/>
            <w:vAlign w:val="center"/>
            <w:hideMark/>
          </w:tcPr>
          <w:p w14:paraId="06292079"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1,000,130,028.9</w:t>
            </w:r>
          </w:p>
        </w:tc>
      </w:tr>
      <w:tr w:rsidR="00567148" w:rsidRPr="00567148" w14:paraId="71B37DB0" w14:textId="77777777" w:rsidTr="00567148">
        <w:trPr>
          <w:trHeight w:val="250"/>
          <w:jc w:val="center"/>
        </w:trPr>
        <w:tc>
          <w:tcPr>
            <w:tcW w:w="6800" w:type="dxa"/>
            <w:tcBorders>
              <w:top w:val="nil"/>
              <w:left w:val="nil"/>
              <w:bottom w:val="nil"/>
              <w:right w:val="nil"/>
            </w:tcBorders>
            <w:shd w:val="clear" w:color="000000" w:fill="F2F2F2"/>
            <w:vAlign w:val="center"/>
            <w:hideMark/>
          </w:tcPr>
          <w:p w14:paraId="1A0FE990" w14:textId="77777777" w:rsidR="00567148" w:rsidRPr="00567148" w:rsidRDefault="00567148" w:rsidP="00567148">
            <w:pPr>
              <w:spacing w:after="0" w:line="240" w:lineRule="auto"/>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RFA Seguro de Enfermedad y Maternidad</w:t>
            </w:r>
          </w:p>
        </w:tc>
        <w:tc>
          <w:tcPr>
            <w:tcW w:w="2158" w:type="dxa"/>
            <w:tcBorders>
              <w:top w:val="nil"/>
              <w:left w:val="nil"/>
              <w:bottom w:val="nil"/>
              <w:right w:val="nil"/>
            </w:tcBorders>
            <w:shd w:val="clear" w:color="000000" w:fill="F2F2F2"/>
            <w:vAlign w:val="center"/>
            <w:hideMark/>
          </w:tcPr>
          <w:p w14:paraId="6F7FEF7C"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-1,685,128,035.8</w:t>
            </w:r>
          </w:p>
        </w:tc>
        <w:tc>
          <w:tcPr>
            <w:tcW w:w="2108" w:type="dxa"/>
            <w:tcBorders>
              <w:top w:val="nil"/>
              <w:left w:val="nil"/>
              <w:bottom w:val="nil"/>
              <w:right w:val="nil"/>
            </w:tcBorders>
            <w:shd w:val="clear" w:color="000000" w:fill="F2F2F2"/>
            <w:vAlign w:val="center"/>
            <w:hideMark/>
          </w:tcPr>
          <w:p w14:paraId="1A134E67" w14:textId="77777777" w:rsidR="00567148" w:rsidRPr="00567148" w:rsidRDefault="00567148" w:rsidP="00567148">
            <w:pPr>
              <w:spacing w:after="0" w:line="240" w:lineRule="auto"/>
              <w:jc w:val="right"/>
              <w:rPr>
                <w:rFonts w:ascii="Montserrat" w:eastAsia="Times New Roman" w:hAnsi="Montserrat"/>
                <w:color w:val="000000"/>
                <w:sz w:val="15"/>
                <w:szCs w:val="15"/>
                <w:lang w:val="es-MX" w:eastAsia="es-MX"/>
              </w:rPr>
            </w:pPr>
            <w:r w:rsidRPr="00567148">
              <w:rPr>
                <w:rFonts w:ascii="Montserrat" w:eastAsia="Times New Roman" w:hAnsi="Montserrat"/>
                <w:color w:val="000000"/>
                <w:sz w:val="15"/>
                <w:szCs w:val="15"/>
                <w:lang w:val="es-MX" w:eastAsia="es-MX"/>
              </w:rPr>
              <w:t>1,753,043,587.1</w:t>
            </w:r>
          </w:p>
        </w:tc>
      </w:tr>
      <w:tr w:rsidR="00567148" w:rsidRPr="00567148" w14:paraId="3560D00E" w14:textId="77777777" w:rsidTr="00567148">
        <w:trPr>
          <w:trHeight w:val="250"/>
          <w:jc w:val="center"/>
        </w:trPr>
        <w:tc>
          <w:tcPr>
            <w:tcW w:w="6800" w:type="dxa"/>
            <w:tcBorders>
              <w:top w:val="nil"/>
              <w:left w:val="nil"/>
              <w:bottom w:val="nil"/>
              <w:right w:val="nil"/>
            </w:tcBorders>
            <w:shd w:val="clear" w:color="000000" w:fill="F2F2F2"/>
            <w:vAlign w:val="center"/>
            <w:hideMark/>
          </w:tcPr>
          <w:p w14:paraId="0DE9B297" w14:textId="77777777" w:rsidR="00567148" w:rsidRPr="002B24F1" w:rsidRDefault="002B24F1" w:rsidP="00567148">
            <w:pPr>
              <w:spacing w:after="0" w:line="240" w:lineRule="auto"/>
              <w:rPr>
                <w:rFonts w:ascii="Montserrat" w:eastAsia="Times New Roman" w:hAnsi="Montserrat"/>
                <w:color w:val="000000"/>
                <w:sz w:val="15"/>
                <w:szCs w:val="15"/>
                <w:lang w:val="es-MX" w:eastAsia="es-MX"/>
              </w:rPr>
            </w:pPr>
            <w:r w:rsidRPr="002B24F1">
              <w:rPr>
                <w:rFonts w:ascii="Montserrat" w:eastAsia="Times New Roman" w:hAnsi="Montserrat"/>
                <w:color w:val="000000"/>
                <w:sz w:val="15"/>
                <w:szCs w:val="15"/>
                <w:lang w:val="es-MX" w:eastAsia="es-MX"/>
              </w:rPr>
              <w:t xml:space="preserve">RFA </w:t>
            </w:r>
            <w:r w:rsidR="00567148" w:rsidRPr="002B24F1">
              <w:rPr>
                <w:rFonts w:ascii="Montserrat" w:eastAsia="Times New Roman" w:hAnsi="Montserrat"/>
                <w:color w:val="000000"/>
                <w:sz w:val="15"/>
                <w:szCs w:val="15"/>
                <w:lang w:val="es-MX" w:eastAsia="es-MX"/>
              </w:rPr>
              <w:t>Seguro de Guarderías y Prestaciones Sociales</w:t>
            </w:r>
          </w:p>
        </w:tc>
        <w:tc>
          <w:tcPr>
            <w:tcW w:w="2158" w:type="dxa"/>
            <w:tcBorders>
              <w:top w:val="nil"/>
              <w:left w:val="nil"/>
              <w:bottom w:val="nil"/>
              <w:right w:val="nil"/>
            </w:tcBorders>
            <w:shd w:val="clear" w:color="000000" w:fill="F2F2F2"/>
            <w:vAlign w:val="center"/>
            <w:hideMark/>
          </w:tcPr>
          <w:p w14:paraId="597502D3" w14:textId="77777777" w:rsidR="00567148" w:rsidRPr="002B24F1" w:rsidRDefault="00567148" w:rsidP="00567148">
            <w:pPr>
              <w:spacing w:after="0" w:line="240" w:lineRule="auto"/>
              <w:jc w:val="right"/>
              <w:rPr>
                <w:rFonts w:ascii="Montserrat" w:eastAsia="Times New Roman" w:hAnsi="Montserrat"/>
                <w:color w:val="000000"/>
                <w:sz w:val="15"/>
                <w:szCs w:val="15"/>
                <w:lang w:val="es-MX" w:eastAsia="es-MX"/>
              </w:rPr>
            </w:pPr>
            <w:r w:rsidRPr="002B24F1">
              <w:rPr>
                <w:rFonts w:ascii="Montserrat" w:eastAsia="Times New Roman" w:hAnsi="Montserrat"/>
                <w:color w:val="000000"/>
                <w:sz w:val="15"/>
                <w:szCs w:val="15"/>
                <w:lang w:val="es-MX" w:eastAsia="es-MX"/>
              </w:rPr>
              <w:t>153,430,265.3</w:t>
            </w:r>
          </w:p>
        </w:tc>
        <w:tc>
          <w:tcPr>
            <w:tcW w:w="2108" w:type="dxa"/>
            <w:tcBorders>
              <w:top w:val="nil"/>
              <w:left w:val="nil"/>
              <w:bottom w:val="nil"/>
              <w:right w:val="nil"/>
            </w:tcBorders>
            <w:shd w:val="clear" w:color="000000" w:fill="F2F2F2"/>
            <w:vAlign w:val="center"/>
            <w:hideMark/>
          </w:tcPr>
          <w:p w14:paraId="78FA4CCA" w14:textId="77777777" w:rsidR="00567148" w:rsidRPr="002B24F1" w:rsidRDefault="00567148" w:rsidP="00567148">
            <w:pPr>
              <w:spacing w:after="0" w:line="240" w:lineRule="auto"/>
              <w:jc w:val="right"/>
              <w:rPr>
                <w:rFonts w:ascii="Montserrat" w:eastAsia="Times New Roman" w:hAnsi="Montserrat"/>
                <w:color w:val="000000"/>
                <w:sz w:val="15"/>
                <w:szCs w:val="15"/>
                <w:lang w:val="es-MX" w:eastAsia="es-MX"/>
              </w:rPr>
            </w:pPr>
            <w:r w:rsidRPr="002B24F1">
              <w:rPr>
                <w:rFonts w:ascii="Montserrat" w:eastAsia="Times New Roman" w:hAnsi="Montserrat"/>
                <w:color w:val="000000"/>
                <w:sz w:val="15"/>
                <w:szCs w:val="15"/>
                <w:lang w:val="es-MX" w:eastAsia="es-MX"/>
              </w:rPr>
              <w:t>0.0</w:t>
            </w:r>
          </w:p>
        </w:tc>
      </w:tr>
      <w:tr w:rsidR="00567148" w:rsidRPr="00567148" w14:paraId="31374805" w14:textId="77777777" w:rsidTr="00567148">
        <w:trPr>
          <w:trHeight w:val="262"/>
          <w:jc w:val="center"/>
        </w:trPr>
        <w:tc>
          <w:tcPr>
            <w:tcW w:w="6800" w:type="dxa"/>
            <w:tcBorders>
              <w:top w:val="nil"/>
              <w:left w:val="nil"/>
              <w:bottom w:val="single" w:sz="12" w:space="0" w:color="808080"/>
              <w:right w:val="nil"/>
            </w:tcBorders>
            <w:shd w:val="clear" w:color="000000" w:fill="F2F2F2"/>
            <w:vAlign w:val="center"/>
            <w:hideMark/>
          </w:tcPr>
          <w:p w14:paraId="5E1A6780" w14:textId="77777777" w:rsidR="00567148" w:rsidRPr="00567148" w:rsidRDefault="00567148" w:rsidP="00567148">
            <w:pPr>
              <w:spacing w:after="0" w:line="240" w:lineRule="auto"/>
              <w:rPr>
                <w:rFonts w:ascii="Montserrat" w:eastAsia="Times New Roman" w:hAnsi="Montserrat"/>
                <w:b/>
                <w:bCs/>
                <w:color w:val="000000"/>
                <w:sz w:val="15"/>
                <w:szCs w:val="15"/>
                <w:lang w:val="es-MX" w:eastAsia="es-MX"/>
              </w:rPr>
            </w:pPr>
            <w:r w:rsidRPr="00567148">
              <w:rPr>
                <w:rFonts w:ascii="Montserrat" w:eastAsia="Times New Roman" w:hAnsi="Montserrat"/>
                <w:b/>
                <w:bCs/>
                <w:color w:val="000000"/>
                <w:sz w:val="15"/>
                <w:szCs w:val="15"/>
                <w:lang w:val="es-MX" w:eastAsia="es-MX"/>
              </w:rPr>
              <w:t>Total Provisiones</w:t>
            </w:r>
          </w:p>
        </w:tc>
        <w:tc>
          <w:tcPr>
            <w:tcW w:w="2158" w:type="dxa"/>
            <w:tcBorders>
              <w:top w:val="nil"/>
              <w:left w:val="nil"/>
              <w:bottom w:val="single" w:sz="12" w:space="0" w:color="808080"/>
              <w:right w:val="nil"/>
            </w:tcBorders>
            <w:shd w:val="clear" w:color="000000" w:fill="F2F2F2"/>
            <w:vAlign w:val="center"/>
            <w:hideMark/>
          </w:tcPr>
          <w:p w14:paraId="36017F1B" w14:textId="77777777" w:rsidR="00567148" w:rsidRPr="00567148" w:rsidRDefault="00567148" w:rsidP="00567148">
            <w:pPr>
              <w:spacing w:after="0" w:line="240" w:lineRule="auto"/>
              <w:jc w:val="right"/>
              <w:rPr>
                <w:rFonts w:ascii="Montserrat" w:eastAsia="Times New Roman" w:hAnsi="Montserrat"/>
                <w:b/>
                <w:bCs/>
                <w:color w:val="000000"/>
                <w:sz w:val="15"/>
                <w:szCs w:val="15"/>
                <w:lang w:val="es-MX" w:eastAsia="es-MX"/>
              </w:rPr>
            </w:pPr>
            <w:r w:rsidRPr="00567148">
              <w:rPr>
                <w:rFonts w:ascii="Montserrat" w:eastAsia="Times New Roman" w:hAnsi="Montserrat"/>
                <w:b/>
                <w:bCs/>
                <w:color w:val="000000"/>
                <w:sz w:val="15"/>
                <w:szCs w:val="15"/>
                <w:lang w:val="es-MX" w:eastAsia="es-MX"/>
              </w:rPr>
              <w:t>7,543,086,327.2</w:t>
            </w:r>
          </w:p>
        </w:tc>
        <w:tc>
          <w:tcPr>
            <w:tcW w:w="2108" w:type="dxa"/>
            <w:tcBorders>
              <w:top w:val="nil"/>
              <w:left w:val="nil"/>
              <w:bottom w:val="single" w:sz="12" w:space="0" w:color="808080"/>
              <w:right w:val="nil"/>
            </w:tcBorders>
            <w:shd w:val="clear" w:color="000000" w:fill="F2F2F2"/>
            <w:vAlign w:val="center"/>
            <w:hideMark/>
          </w:tcPr>
          <w:p w14:paraId="7275EDF8" w14:textId="77777777" w:rsidR="00567148" w:rsidRPr="00567148" w:rsidRDefault="00567148" w:rsidP="00567148">
            <w:pPr>
              <w:spacing w:after="0" w:line="240" w:lineRule="auto"/>
              <w:jc w:val="right"/>
              <w:rPr>
                <w:rFonts w:ascii="Montserrat" w:eastAsia="Times New Roman" w:hAnsi="Montserrat"/>
                <w:b/>
                <w:bCs/>
                <w:color w:val="000000"/>
                <w:sz w:val="15"/>
                <w:szCs w:val="15"/>
                <w:lang w:val="es-MX" w:eastAsia="es-MX"/>
              </w:rPr>
            </w:pPr>
            <w:r w:rsidRPr="00567148">
              <w:rPr>
                <w:rFonts w:ascii="Montserrat" w:eastAsia="Times New Roman" w:hAnsi="Montserrat"/>
                <w:b/>
                <w:bCs/>
                <w:color w:val="000000"/>
                <w:sz w:val="15"/>
                <w:szCs w:val="15"/>
                <w:lang w:val="es-MX" w:eastAsia="es-MX"/>
              </w:rPr>
              <w:t>8,406,348,409.4</w:t>
            </w:r>
          </w:p>
        </w:tc>
      </w:tr>
    </w:tbl>
    <w:p w14:paraId="30D2A449" w14:textId="77777777" w:rsidR="00B653EC" w:rsidRDefault="00B653EC" w:rsidP="00B653EC">
      <w:pPr>
        <w:pStyle w:val="TEXTONORMAL"/>
      </w:pPr>
    </w:p>
    <w:p w14:paraId="1BF54E67" w14:textId="77777777" w:rsidR="002B24F1" w:rsidRDefault="002B24F1" w:rsidP="00B653EC">
      <w:pPr>
        <w:pStyle w:val="TEXTONORMAL"/>
        <w:rPr>
          <w:lang w:val="es-MX"/>
        </w:rPr>
      </w:pPr>
      <w:r w:rsidRPr="00747FF2">
        <w:rPr>
          <w:lang w:val="es-MX"/>
        </w:rPr>
        <w:t>Conforme al acuerdo ACDO.AS3.HCT.141221/339.P.DF del H. Consejo Técnico, el 1 de septiembre del año en curso inició la Reserva Financiera y Actuarial del Seguro de Guarderías y Prestaciones Sociales</w:t>
      </w:r>
      <w:r>
        <w:rPr>
          <w:lang w:val="es-MX"/>
        </w:rPr>
        <w:t xml:space="preserve"> con un importe de $</w:t>
      </w:r>
      <w:r w:rsidRPr="00747FF2">
        <w:rPr>
          <w:lang w:val="es-MX"/>
        </w:rPr>
        <w:t>152,264,792.0</w:t>
      </w:r>
    </w:p>
    <w:p w14:paraId="2CCD7CA4" w14:textId="77777777" w:rsidR="002B24F1" w:rsidRPr="002B24F1" w:rsidRDefault="002B24F1" w:rsidP="00B653EC">
      <w:pPr>
        <w:pStyle w:val="TEXTONORMAL"/>
        <w:rPr>
          <w:lang w:val="es-MX"/>
        </w:rPr>
      </w:pPr>
    </w:p>
    <w:p w14:paraId="62337465" w14:textId="77777777" w:rsidR="009D5C48" w:rsidRPr="002778C0" w:rsidRDefault="00BF0C26" w:rsidP="003F2A12">
      <w:pPr>
        <w:pStyle w:val="VIETAFLECHA"/>
        <w:numPr>
          <w:ilvl w:val="1"/>
          <w:numId w:val="39"/>
        </w:numPr>
        <w:ind w:left="357" w:hanging="357"/>
      </w:pPr>
      <w:r w:rsidRPr="00EC0DD6">
        <w:rPr>
          <w:rFonts w:eastAsia="Times New Roman" w:cs="Arial"/>
          <w:b/>
          <w:color w:val="000000"/>
          <w:lang w:val="es-MX" w:eastAsia="es-MX"/>
        </w:rPr>
        <w:t>4.7</w:t>
      </w:r>
      <w:r>
        <w:rPr>
          <w:rFonts w:eastAsia="Times New Roman" w:cs="Arial"/>
          <w:color w:val="000000"/>
          <w:lang w:val="es-MX" w:eastAsia="es-MX"/>
        </w:rPr>
        <w:t xml:space="preserve"> </w:t>
      </w:r>
      <w:r w:rsidR="009D5C48" w:rsidRPr="002778C0">
        <w:rPr>
          <w:rFonts w:eastAsia="Times New Roman" w:cs="Arial"/>
          <w:color w:val="000000"/>
          <w:lang w:val="es-MX" w:eastAsia="es-MX"/>
        </w:rPr>
        <w:t>Disminución de Inventarios</w:t>
      </w:r>
    </w:p>
    <w:p w14:paraId="6B053835" w14:textId="77777777" w:rsidR="009D5C48" w:rsidRDefault="009D5C48" w:rsidP="00C16E7C">
      <w:pPr>
        <w:pStyle w:val="TEXTONORMAL"/>
      </w:pPr>
      <w:r w:rsidRPr="001465AC">
        <w:t xml:space="preserve">Al </w:t>
      </w:r>
      <w:r w:rsidR="00C859E6">
        <w:t>30</w:t>
      </w:r>
      <w:r w:rsidR="00EF0F02">
        <w:t xml:space="preserve"> de septiembre</w:t>
      </w:r>
      <w:r w:rsidR="008E7400" w:rsidRPr="00C92890">
        <w:t xml:space="preserve"> de 2022 y 2021</w:t>
      </w:r>
      <w:r w:rsidRPr="001465AC">
        <w:t>, la Disminución de Inventarios se integra como sigue:</w:t>
      </w:r>
    </w:p>
    <w:p w14:paraId="424A2A36" w14:textId="77777777" w:rsidR="00E9756F" w:rsidRDefault="00E9756F" w:rsidP="00C16E7C">
      <w:pPr>
        <w:pStyle w:val="TEXTONORMAL"/>
      </w:pPr>
    </w:p>
    <w:tbl>
      <w:tblPr>
        <w:tblW w:w="10978" w:type="dxa"/>
        <w:jc w:val="center"/>
        <w:tblCellMar>
          <w:left w:w="70" w:type="dxa"/>
          <w:right w:w="70" w:type="dxa"/>
        </w:tblCellMar>
        <w:tblLook w:val="04A0" w:firstRow="1" w:lastRow="0" w:firstColumn="1" w:lastColumn="0" w:noHBand="0" w:noVBand="1"/>
      </w:tblPr>
      <w:tblGrid>
        <w:gridCol w:w="6746"/>
        <w:gridCol w:w="2141"/>
        <w:gridCol w:w="2091"/>
      </w:tblGrid>
      <w:tr w:rsidR="00E9756F" w:rsidRPr="00E9756F" w14:paraId="2FB1421D" w14:textId="77777777" w:rsidTr="00E9756F">
        <w:trPr>
          <w:trHeight w:val="252"/>
          <w:jc w:val="center"/>
        </w:trPr>
        <w:tc>
          <w:tcPr>
            <w:tcW w:w="674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2423541" w14:textId="77777777" w:rsidR="00E9756F" w:rsidRPr="00E9756F" w:rsidRDefault="00E9756F" w:rsidP="00E9756F">
            <w:pPr>
              <w:spacing w:after="0" w:line="240" w:lineRule="auto"/>
              <w:jc w:val="center"/>
              <w:rPr>
                <w:rFonts w:ascii="Montserrat" w:eastAsia="Times New Roman" w:hAnsi="Montserrat"/>
                <w:b/>
                <w:bCs/>
                <w:color w:val="FFFFFF"/>
                <w:sz w:val="16"/>
                <w:szCs w:val="16"/>
                <w:lang w:val="es-MX" w:eastAsia="es-MX"/>
              </w:rPr>
            </w:pPr>
            <w:r w:rsidRPr="00E9756F">
              <w:rPr>
                <w:rFonts w:ascii="Montserrat" w:eastAsia="Times New Roman" w:hAnsi="Montserrat"/>
                <w:b/>
                <w:bCs/>
                <w:color w:val="FFFFFF"/>
                <w:sz w:val="16"/>
                <w:szCs w:val="16"/>
                <w:lang w:val="es-MX" w:eastAsia="es-MX"/>
              </w:rPr>
              <w:t>Concepto</w:t>
            </w:r>
          </w:p>
        </w:tc>
        <w:tc>
          <w:tcPr>
            <w:tcW w:w="423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101DE13" w14:textId="77777777" w:rsidR="00E9756F" w:rsidRPr="00E9756F" w:rsidRDefault="00E9756F" w:rsidP="00E9756F">
            <w:pPr>
              <w:spacing w:after="0" w:line="240" w:lineRule="auto"/>
              <w:jc w:val="center"/>
              <w:rPr>
                <w:rFonts w:ascii="Montserrat" w:eastAsia="Times New Roman" w:hAnsi="Montserrat"/>
                <w:b/>
                <w:bCs/>
                <w:color w:val="FFFFFF"/>
                <w:sz w:val="16"/>
                <w:szCs w:val="16"/>
                <w:lang w:val="es-MX" w:eastAsia="es-MX"/>
              </w:rPr>
            </w:pPr>
            <w:r w:rsidRPr="00E9756F">
              <w:rPr>
                <w:rFonts w:ascii="Montserrat" w:eastAsia="Times New Roman" w:hAnsi="Montserrat"/>
                <w:b/>
                <w:bCs/>
                <w:color w:val="FFFFFF"/>
                <w:sz w:val="16"/>
                <w:szCs w:val="16"/>
                <w:lang w:val="es-MX" w:eastAsia="es-MX"/>
              </w:rPr>
              <w:t>Cifras en pesos</w:t>
            </w:r>
          </w:p>
        </w:tc>
      </w:tr>
      <w:tr w:rsidR="00E9756F" w:rsidRPr="00E9756F" w14:paraId="5FD42260" w14:textId="77777777" w:rsidTr="00E9756F">
        <w:trPr>
          <w:trHeight w:val="252"/>
          <w:jc w:val="center"/>
        </w:trPr>
        <w:tc>
          <w:tcPr>
            <w:tcW w:w="6746" w:type="dxa"/>
            <w:vMerge/>
            <w:tcBorders>
              <w:top w:val="single" w:sz="12" w:space="0" w:color="808080"/>
              <w:left w:val="single" w:sz="12" w:space="0" w:color="FFFFFF"/>
              <w:bottom w:val="double" w:sz="6" w:space="0" w:color="808080"/>
              <w:right w:val="single" w:sz="12" w:space="0" w:color="FFFFFF"/>
            </w:tcBorders>
            <w:vAlign w:val="center"/>
            <w:hideMark/>
          </w:tcPr>
          <w:p w14:paraId="3E4229C1" w14:textId="77777777" w:rsidR="00E9756F" w:rsidRPr="00E9756F" w:rsidRDefault="00E9756F" w:rsidP="00E9756F">
            <w:pPr>
              <w:spacing w:after="0" w:line="240" w:lineRule="auto"/>
              <w:rPr>
                <w:rFonts w:ascii="Montserrat" w:eastAsia="Times New Roman" w:hAnsi="Montserrat"/>
                <w:b/>
                <w:bCs/>
                <w:color w:val="FFFFFF"/>
                <w:sz w:val="16"/>
                <w:szCs w:val="16"/>
                <w:lang w:val="es-MX" w:eastAsia="es-MX"/>
              </w:rPr>
            </w:pPr>
          </w:p>
        </w:tc>
        <w:tc>
          <w:tcPr>
            <w:tcW w:w="2141" w:type="dxa"/>
            <w:tcBorders>
              <w:top w:val="nil"/>
              <w:left w:val="nil"/>
              <w:bottom w:val="double" w:sz="6" w:space="0" w:color="808080"/>
              <w:right w:val="single" w:sz="12" w:space="0" w:color="FFFFFF"/>
            </w:tcBorders>
            <w:shd w:val="clear" w:color="000000" w:fill="D4C19C"/>
            <w:vAlign w:val="center"/>
            <w:hideMark/>
          </w:tcPr>
          <w:p w14:paraId="0B489514" w14:textId="77777777" w:rsidR="00E9756F" w:rsidRPr="00E9756F" w:rsidRDefault="00E9756F" w:rsidP="00E9756F">
            <w:pPr>
              <w:spacing w:after="0" w:line="240" w:lineRule="auto"/>
              <w:jc w:val="center"/>
              <w:rPr>
                <w:rFonts w:ascii="Montserrat" w:eastAsia="Times New Roman" w:hAnsi="Montserrat"/>
                <w:b/>
                <w:bCs/>
                <w:color w:val="FFFFFF"/>
                <w:sz w:val="16"/>
                <w:szCs w:val="16"/>
                <w:lang w:val="es-MX" w:eastAsia="es-MX"/>
              </w:rPr>
            </w:pPr>
            <w:r w:rsidRPr="00E9756F">
              <w:rPr>
                <w:rFonts w:ascii="Montserrat" w:eastAsia="Times New Roman" w:hAnsi="Montserrat"/>
                <w:b/>
                <w:bCs/>
                <w:color w:val="FFFFFF"/>
                <w:sz w:val="16"/>
                <w:szCs w:val="16"/>
                <w:lang w:val="es-MX" w:eastAsia="es-MX"/>
              </w:rPr>
              <w:t>2022</w:t>
            </w:r>
          </w:p>
        </w:tc>
        <w:tc>
          <w:tcPr>
            <w:tcW w:w="2091" w:type="dxa"/>
            <w:tcBorders>
              <w:top w:val="nil"/>
              <w:left w:val="nil"/>
              <w:bottom w:val="double" w:sz="6" w:space="0" w:color="808080"/>
              <w:right w:val="single" w:sz="12" w:space="0" w:color="FFFFFF"/>
            </w:tcBorders>
            <w:shd w:val="clear" w:color="000000" w:fill="D4C19C"/>
            <w:vAlign w:val="center"/>
            <w:hideMark/>
          </w:tcPr>
          <w:p w14:paraId="7A8BCA13" w14:textId="77777777" w:rsidR="00E9756F" w:rsidRPr="00E9756F" w:rsidRDefault="00E9756F" w:rsidP="00E9756F">
            <w:pPr>
              <w:spacing w:after="0" w:line="240" w:lineRule="auto"/>
              <w:jc w:val="center"/>
              <w:rPr>
                <w:rFonts w:ascii="Montserrat" w:eastAsia="Times New Roman" w:hAnsi="Montserrat"/>
                <w:b/>
                <w:bCs/>
                <w:color w:val="FFFFFF"/>
                <w:sz w:val="16"/>
                <w:szCs w:val="16"/>
                <w:lang w:val="es-MX" w:eastAsia="es-MX"/>
              </w:rPr>
            </w:pPr>
            <w:r w:rsidRPr="00E9756F">
              <w:rPr>
                <w:rFonts w:ascii="Montserrat" w:eastAsia="Times New Roman" w:hAnsi="Montserrat"/>
                <w:b/>
                <w:bCs/>
                <w:color w:val="FFFFFF"/>
                <w:sz w:val="16"/>
                <w:szCs w:val="16"/>
                <w:lang w:val="es-MX" w:eastAsia="es-MX"/>
              </w:rPr>
              <w:t>2021</w:t>
            </w:r>
          </w:p>
        </w:tc>
      </w:tr>
      <w:tr w:rsidR="00E9756F" w:rsidRPr="00E9756F" w14:paraId="31371D2D" w14:textId="77777777" w:rsidTr="00E9756F">
        <w:trPr>
          <w:trHeight w:val="240"/>
          <w:jc w:val="center"/>
        </w:trPr>
        <w:tc>
          <w:tcPr>
            <w:tcW w:w="6746" w:type="dxa"/>
            <w:tcBorders>
              <w:top w:val="nil"/>
              <w:left w:val="nil"/>
              <w:bottom w:val="nil"/>
              <w:right w:val="nil"/>
            </w:tcBorders>
            <w:shd w:val="clear" w:color="000000" w:fill="F2F2F2"/>
            <w:vAlign w:val="center"/>
            <w:hideMark/>
          </w:tcPr>
          <w:p w14:paraId="6837B73B" w14:textId="77777777" w:rsidR="00E9756F" w:rsidRPr="00E9756F" w:rsidRDefault="00E9756F" w:rsidP="00E9756F">
            <w:pPr>
              <w:spacing w:after="0" w:line="240" w:lineRule="auto"/>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 xml:space="preserve">Disminución por Variación de Inventarios </w:t>
            </w:r>
            <w:r w:rsidRPr="00E9756F">
              <w:rPr>
                <w:rFonts w:ascii="Montserrat" w:eastAsia="Times New Roman" w:hAnsi="Montserrat"/>
                <w:b/>
                <w:bCs/>
                <w:color w:val="000000"/>
                <w:sz w:val="15"/>
                <w:szCs w:val="15"/>
                <w:lang w:val="es-MX" w:eastAsia="es-MX"/>
              </w:rPr>
              <w:t>(4.7.a)</w:t>
            </w:r>
          </w:p>
        </w:tc>
        <w:tc>
          <w:tcPr>
            <w:tcW w:w="2141" w:type="dxa"/>
            <w:tcBorders>
              <w:top w:val="nil"/>
              <w:left w:val="nil"/>
              <w:bottom w:val="nil"/>
              <w:right w:val="nil"/>
            </w:tcBorders>
            <w:shd w:val="clear" w:color="000000" w:fill="F2F2F2"/>
            <w:vAlign w:val="center"/>
            <w:hideMark/>
          </w:tcPr>
          <w:p w14:paraId="3C7D4407" w14:textId="77777777" w:rsidR="00E9756F" w:rsidRPr="00E9756F" w:rsidRDefault="00E9756F" w:rsidP="00E9756F">
            <w:pPr>
              <w:spacing w:after="0" w:line="240" w:lineRule="auto"/>
              <w:jc w:val="right"/>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12,545,213,954.1</w:t>
            </w:r>
          </w:p>
        </w:tc>
        <w:tc>
          <w:tcPr>
            <w:tcW w:w="2091" w:type="dxa"/>
            <w:tcBorders>
              <w:top w:val="nil"/>
              <w:left w:val="nil"/>
              <w:bottom w:val="nil"/>
              <w:right w:val="nil"/>
            </w:tcBorders>
            <w:shd w:val="clear" w:color="000000" w:fill="F2F2F2"/>
            <w:vAlign w:val="center"/>
            <w:hideMark/>
          </w:tcPr>
          <w:p w14:paraId="2CA7821B" w14:textId="77777777" w:rsidR="00E9756F" w:rsidRPr="00E9756F" w:rsidRDefault="00E9756F" w:rsidP="00E9756F">
            <w:pPr>
              <w:spacing w:after="0" w:line="240" w:lineRule="auto"/>
              <w:jc w:val="right"/>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10,905,900,213.8</w:t>
            </w:r>
          </w:p>
        </w:tc>
      </w:tr>
      <w:tr w:rsidR="00E9756F" w:rsidRPr="00E9756F" w14:paraId="79152C0B" w14:textId="77777777" w:rsidTr="00E9756F">
        <w:trPr>
          <w:trHeight w:val="230"/>
          <w:jc w:val="center"/>
        </w:trPr>
        <w:tc>
          <w:tcPr>
            <w:tcW w:w="6746" w:type="dxa"/>
            <w:tcBorders>
              <w:top w:val="nil"/>
              <w:left w:val="nil"/>
              <w:bottom w:val="nil"/>
              <w:right w:val="nil"/>
            </w:tcBorders>
            <w:shd w:val="clear" w:color="000000" w:fill="F2F2F2"/>
            <w:vAlign w:val="center"/>
            <w:hideMark/>
          </w:tcPr>
          <w:p w14:paraId="2A67193F" w14:textId="77777777" w:rsidR="00E9756F" w:rsidRPr="00E9756F" w:rsidRDefault="00E9756F" w:rsidP="00E9756F">
            <w:pPr>
              <w:spacing w:after="0" w:line="240" w:lineRule="auto"/>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Disminución de Inventarios de Mercancías para Venta</w:t>
            </w:r>
          </w:p>
        </w:tc>
        <w:tc>
          <w:tcPr>
            <w:tcW w:w="2141" w:type="dxa"/>
            <w:tcBorders>
              <w:top w:val="nil"/>
              <w:left w:val="nil"/>
              <w:bottom w:val="nil"/>
              <w:right w:val="nil"/>
            </w:tcBorders>
            <w:shd w:val="clear" w:color="000000" w:fill="F2F2F2"/>
            <w:vAlign w:val="center"/>
            <w:hideMark/>
          </w:tcPr>
          <w:p w14:paraId="50404DD1" w14:textId="77777777" w:rsidR="00E9756F" w:rsidRPr="00E9756F" w:rsidRDefault="00E9756F" w:rsidP="00E9756F">
            <w:pPr>
              <w:spacing w:after="0" w:line="240" w:lineRule="auto"/>
              <w:jc w:val="right"/>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2,225,901.7</w:t>
            </w:r>
          </w:p>
        </w:tc>
        <w:tc>
          <w:tcPr>
            <w:tcW w:w="2091" w:type="dxa"/>
            <w:tcBorders>
              <w:top w:val="nil"/>
              <w:left w:val="nil"/>
              <w:bottom w:val="nil"/>
              <w:right w:val="nil"/>
            </w:tcBorders>
            <w:shd w:val="clear" w:color="000000" w:fill="F2F2F2"/>
            <w:vAlign w:val="center"/>
            <w:hideMark/>
          </w:tcPr>
          <w:p w14:paraId="4DF63327" w14:textId="77777777" w:rsidR="00E9756F" w:rsidRPr="00E9756F" w:rsidRDefault="00E9756F" w:rsidP="00E9756F">
            <w:pPr>
              <w:spacing w:after="0" w:line="240" w:lineRule="auto"/>
              <w:jc w:val="right"/>
              <w:rPr>
                <w:rFonts w:ascii="Montserrat" w:eastAsia="Times New Roman" w:hAnsi="Montserrat"/>
                <w:color w:val="000000"/>
                <w:sz w:val="15"/>
                <w:szCs w:val="15"/>
                <w:lang w:val="es-MX" w:eastAsia="es-MX"/>
              </w:rPr>
            </w:pPr>
            <w:r w:rsidRPr="00E9756F">
              <w:rPr>
                <w:rFonts w:ascii="Montserrat" w:eastAsia="Times New Roman" w:hAnsi="Montserrat"/>
                <w:color w:val="000000"/>
                <w:sz w:val="15"/>
                <w:szCs w:val="15"/>
                <w:lang w:val="es-MX" w:eastAsia="es-MX"/>
              </w:rPr>
              <w:t>1,351,254.7</w:t>
            </w:r>
          </w:p>
        </w:tc>
      </w:tr>
      <w:tr w:rsidR="00E9756F" w:rsidRPr="00E9756F" w14:paraId="496C8663" w14:textId="77777777" w:rsidTr="00E9756F">
        <w:trPr>
          <w:trHeight w:val="240"/>
          <w:jc w:val="center"/>
        </w:trPr>
        <w:tc>
          <w:tcPr>
            <w:tcW w:w="6746" w:type="dxa"/>
            <w:tcBorders>
              <w:top w:val="nil"/>
              <w:left w:val="nil"/>
              <w:bottom w:val="single" w:sz="12" w:space="0" w:color="808080"/>
              <w:right w:val="nil"/>
            </w:tcBorders>
            <w:shd w:val="clear" w:color="000000" w:fill="F2F2F2"/>
            <w:vAlign w:val="center"/>
            <w:hideMark/>
          </w:tcPr>
          <w:p w14:paraId="3C4789C6" w14:textId="77777777" w:rsidR="00E9756F" w:rsidRPr="00E9756F" w:rsidRDefault="00E9756F" w:rsidP="00E9756F">
            <w:pPr>
              <w:spacing w:after="0" w:line="240" w:lineRule="auto"/>
              <w:rPr>
                <w:rFonts w:ascii="Montserrat" w:eastAsia="Times New Roman" w:hAnsi="Montserrat"/>
                <w:b/>
                <w:bCs/>
                <w:color w:val="000000"/>
                <w:sz w:val="15"/>
                <w:szCs w:val="15"/>
                <w:lang w:val="es-MX" w:eastAsia="es-MX"/>
              </w:rPr>
            </w:pPr>
            <w:r w:rsidRPr="00E9756F">
              <w:rPr>
                <w:rFonts w:ascii="Montserrat" w:eastAsia="Times New Roman" w:hAnsi="Montserrat"/>
                <w:b/>
                <w:bCs/>
                <w:color w:val="000000"/>
                <w:sz w:val="15"/>
                <w:szCs w:val="15"/>
                <w:lang w:val="es-MX" w:eastAsia="es-MX"/>
              </w:rPr>
              <w:t>Total Disminución de Inventarios</w:t>
            </w:r>
          </w:p>
        </w:tc>
        <w:tc>
          <w:tcPr>
            <w:tcW w:w="2141" w:type="dxa"/>
            <w:tcBorders>
              <w:top w:val="nil"/>
              <w:left w:val="nil"/>
              <w:bottom w:val="single" w:sz="12" w:space="0" w:color="808080"/>
              <w:right w:val="nil"/>
            </w:tcBorders>
            <w:shd w:val="clear" w:color="000000" w:fill="F2F2F2"/>
            <w:vAlign w:val="center"/>
            <w:hideMark/>
          </w:tcPr>
          <w:p w14:paraId="1F7D3A70" w14:textId="77777777" w:rsidR="00E9756F" w:rsidRPr="00E9756F" w:rsidRDefault="00E9756F" w:rsidP="00E9756F">
            <w:pPr>
              <w:spacing w:after="0" w:line="240" w:lineRule="auto"/>
              <w:jc w:val="right"/>
              <w:rPr>
                <w:rFonts w:ascii="Montserrat" w:eastAsia="Times New Roman" w:hAnsi="Montserrat"/>
                <w:b/>
                <w:bCs/>
                <w:color w:val="000000"/>
                <w:sz w:val="15"/>
                <w:szCs w:val="15"/>
                <w:lang w:val="es-MX" w:eastAsia="es-MX"/>
              </w:rPr>
            </w:pPr>
            <w:r w:rsidRPr="00E9756F">
              <w:rPr>
                <w:rFonts w:ascii="Montserrat" w:eastAsia="Times New Roman" w:hAnsi="Montserrat"/>
                <w:b/>
                <w:bCs/>
                <w:color w:val="000000"/>
                <w:sz w:val="15"/>
                <w:szCs w:val="15"/>
                <w:lang w:val="es-MX" w:eastAsia="es-MX"/>
              </w:rPr>
              <w:t>12,547,439,855.8</w:t>
            </w:r>
          </w:p>
        </w:tc>
        <w:tc>
          <w:tcPr>
            <w:tcW w:w="2091" w:type="dxa"/>
            <w:tcBorders>
              <w:top w:val="nil"/>
              <w:left w:val="nil"/>
              <w:bottom w:val="single" w:sz="12" w:space="0" w:color="808080"/>
              <w:right w:val="nil"/>
            </w:tcBorders>
            <w:shd w:val="clear" w:color="000000" w:fill="F2F2F2"/>
            <w:vAlign w:val="center"/>
            <w:hideMark/>
          </w:tcPr>
          <w:p w14:paraId="2237956F" w14:textId="77777777" w:rsidR="00E9756F" w:rsidRPr="00E9756F" w:rsidRDefault="00E9756F" w:rsidP="00E9756F">
            <w:pPr>
              <w:spacing w:after="0" w:line="240" w:lineRule="auto"/>
              <w:jc w:val="right"/>
              <w:rPr>
                <w:rFonts w:ascii="Montserrat" w:eastAsia="Times New Roman" w:hAnsi="Montserrat"/>
                <w:b/>
                <w:bCs/>
                <w:color w:val="000000"/>
                <w:sz w:val="15"/>
                <w:szCs w:val="15"/>
                <w:lang w:val="es-MX" w:eastAsia="es-MX"/>
              </w:rPr>
            </w:pPr>
            <w:r w:rsidRPr="00E9756F">
              <w:rPr>
                <w:rFonts w:ascii="Montserrat" w:eastAsia="Times New Roman" w:hAnsi="Montserrat"/>
                <w:b/>
                <w:bCs/>
                <w:color w:val="000000"/>
                <w:sz w:val="15"/>
                <w:szCs w:val="15"/>
                <w:lang w:val="es-MX" w:eastAsia="es-MX"/>
              </w:rPr>
              <w:t>10,907,251,468.</w:t>
            </w:r>
            <w:r w:rsidR="002B3711">
              <w:rPr>
                <w:rFonts w:ascii="Montserrat" w:eastAsia="Times New Roman" w:hAnsi="Montserrat"/>
                <w:b/>
                <w:bCs/>
                <w:color w:val="000000"/>
                <w:sz w:val="15"/>
                <w:szCs w:val="15"/>
                <w:lang w:val="es-MX" w:eastAsia="es-MX"/>
              </w:rPr>
              <w:t>5</w:t>
            </w:r>
          </w:p>
        </w:tc>
      </w:tr>
    </w:tbl>
    <w:p w14:paraId="636C4D3E" w14:textId="77777777" w:rsidR="009D5C48" w:rsidRDefault="009D5C48" w:rsidP="009D5C48">
      <w:pPr>
        <w:autoSpaceDE w:val="0"/>
        <w:autoSpaceDN w:val="0"/>
        <w:spacing w:line="240" w:lineRule="auto"/>
        <w:jc w:val="both"/>
        <w:rPr>
          <w:rFonts w:ascii="Montserrat" w:hAnsi="Montserrat"/>
          <w:b/>
          <w:sz w:val="18"/>
          <w:szCs w:val="18"/>
        </w:rPr>
      </w:pPr>
    </w:p>
    <w:p w14:paraId="4CDC3617" w14:textId="77777777" w:rsidR="009D5C48" w:rsidRDefault="009D5C48" w:rsidP="003F2A12">
      <w:pPr>
        <w:numPr>
          <w:ilvl w:val="0"/>
          <w:numId w:val="46"/>
        </w:numPr>
        <w:autoSpaceDE w:val="0"/>
        <w:autoSpaceDN w:val="0"/>
        <w:spacing w:after="120" w:line="250" w:lineRule="exact"/>
        <w:ind w:left="714" w:hanging="357"/>
        <w:jc w:val="both"/>
        <w:rPr>
          <w:rFonts w:ascii="Montserrat" w:hAnsi="Montserrat"/>
          <w:sz w:val="18"/>
          <w:szCs w:val="18"/>
        </w:rPr>
      </w:pPr>
      <w:r w:rsidRPr="00BA03D3">
        <w:rPr>
          <w:rFonts w:ascii="Montserrat" w:hAnsi="Montserrat"/>
          <w:b/>
          <w:sz w:val="18"/>
          <w:szCs w:val="18"/>
        </w:rPr>
        <w:lastRenderedPageBreak/>
        <w:t>4.7.a</w:t>
      </w:r>
      <w:r w:rsidR="0005246D" w:rsidRPr="00BA03D3">
        <w:rPr>
          <w:rFonts w:ascii="Montserrat" w:hAnsi="Montserrat"/>
          <w:b/>
          <w:sz w:val="18"/>
          <w:szCs w:val="18"/>
        </w:rPr>
        <w:t>)</w:t>
      </w:r>
      <w:r w:rsidR="0005246D" w:rsidRPr="00BA03D3">
        <w:rPr>
          <w:rFonts w:ascii="Montserrat" w:hAnsi="Montserrat"/>
          <w:sz w:val="18"/>
          <w:szCs w:val="18"/>
        </w:rPr>
        <w:t xml:space="preserve"> Al</w:t>
      </w:r>
      <w:r w:rsidRPr="00BA03D3">
        <w:rPr>
          <w:rFonts w:ascii="Montserrat" w:hAnsi="Montserrat"/>
          <w:sz w:val="18"/>
          <w:szCs w:val="18"/>
        </w:rPr>
        <w:t xml:space="preserve"> </w:t>
      </w:r>
      <w:r w:rsidR="00E9756F">
        <w:rPr>
          <w:rFonts w:ascii="Montserrat" w:hAnsi="Montserrat"/>
          <w:sz w:val="18"/>
          <w:szCs w:val="18"/>
        </w:rPr>
        <w:t>30 de septiembre</w:t>
      </w:r>
      <w:r w:rsidR="000E4DBB" w:rsidRPr="000E4DBB">
        <w:rPr>
          <w:rFonts w:ascii="Montserrat" w:hAnsi="Montserrat"/>
          <w:sz w:val="18"/>
          <w:szCs w:val="18"/>
        </w:rPr>
        <w:t xml:space="preserve"> de 2022 y 2021</w:t>
      </w:r>
      <w:r w:rsidRPr="00BA03D3">
        <w:rPr>
          <w:rFonts w:ascii="Montserrat" w:hAnsi="Montserrat"/>
          <w:sz w:val="18"/>
          <w:szCs w:val="18"/>
        </w:rPr>
        <w:t xml:space="preserve">, se registraron movimientos contables que no afectan el flujo de efectivo del Instituto, por </w:t>
      </w:r>
      <w:r w:rsidR="00E9756F">
        <w:rPr>
          <w:rFonts w:ascii="Montserrat" w:hAnsi="Montserrat"/>
          <w:sz w:val="18"/>
          <w:szCs w:val="18"/>
        </w:rPr>
        <w:t>12,545,213,954.1</w:t>
      </w:r>
      <w:r w:rsidRPr="00BA03D3">
        <w:rPr>
          <w:rFonts w:ascii="Montserrat" w:hAnsi="Montserrat"/>
          <w:sz w:val="18"/>
          <w:szCs w:val="18"/>
        </w:rPr>
        <w:t xml:space="preserve"> pesos y </w:t>
      </w:r>
      <w:r w:rsidR="00E9756F">
        <w:rPr>
          <w:rFonts w:ascii="Montserrat" w:hAnsi="Montserrat"/>
          <w:sz w:val="18"/>
          <w:szCs w:val="18"/>
        </w:rPr>
        <w:t>10,905,900,213.8</w:t>
      </w:r>
      <w:r w:rsidRPr="00BA03D3">
        <w:rPr>
          <w:rFonts w:ascii="Montserrat" w:hAnsi="Montserrat"/>
          <w:sz w:val="18"/>
          <w:szCs w:val="18"/>
        </w:rPr>
        <w:t xml:space="preserve"> pesos, respectivamente, por la disminución en la variación de inventarios, esto debido a la variación de precios como resultado de comparar el precio unitario uniforme o el precio establecido en el catálogo institucional, respecto al precio de compra indicado en el alta.</w:t>
      </w:r>
    </w:p>
    <w:p w14:paraId="3713DFC8" w14:textId="77777777" w:rsidR="00E9756F" w:rsidRPr="00BA03D3" w:rsidRDefault="00E9756F" w:rsidP="00B31C3E">
      <w:pPr>
        <w:autoSpaceDE w:val="0"/>
        <w:autoSpaceDN w:val="0"/>
        <w:spacing w:after="120" w:line="250" w:lineRule="exact"/>
        <w:ind w:left="714"/>
        <w:jc w:val="both"/>
        <w:rPr>
          <w:rFonts w:ascii="Montserrat" w:hAnsi="Montserrat"/>
          <w:sz w:val="18"/>
          <w:szCs w:val="18"/>
        </w:rPr>
      </w:pPr>
    </w:p>
    <w:p w14:paraId="107CC3D1" w14:textId="77777777" w:rsidR="009D5C48" w:rsidRPr="002778C0" w:rsidRDefault="00BF0C26" w:rsidP="003F2A12">
      <w:pPr>
        <w:pStyle w:val="VIETAFLECHA"/>
        <w:numPr>
          <w:ilvl w:val="1"/>
          <w:numId w:val="39"/>
        </w:numPr>
        <w:ind w:left="357" w:hanging="357"/>
      </w:pPr>
      <w:r w:rsidRPr="00EC0DD6">
        <w:rPr>
          <w:b/>
        </w:rPr>
        <w:t>4.8</w:t>
      </w:r>
      <w:r>
        <w:t xml:space="preserve"> </w:t>
      </w:r>
      <w:r w:rsidR="009D5C48" w:rsidRPr="00BF0C26">
        <w:t>Otros</w:t>
      </w:r>
      <w:r w:rsidR="009D5C48" w:rsidRPr="002778C0">
        <w:t xml:space="preserve"> Gastos</w:t>
      </w:r>
    </w:p>
    <w:p w14:paraId="1D70D955" w14:textId="77777777" w:rsidR="009D5C48" w:rsidRDefault="009D5C48" w:rsidP="00C16E7C">
      <w:pPr>
        <w:pStyle w:val="TEXTONORMAL"/>
      </w:pPr>
      <w:r w:rsidRPr="001465AC">
        <w:t xml:space="preserve">Al </w:t>
      </w:r>
      <w:r w:rsidR="000E4DBB">
        <w:t>30</w:t>
      </w:r>
      <w:r w:rsidR="00C4342F">
        <w:t xml:space="preserve"> de septiembre</w:t>
      </w:r>
      <w:r w:rsidR="000E4DBB" w:rsidRPr="00C92890">
        <w:t xml:space="preserve"> de 2022 y 2021</w:t>
      </w:r>
      <w:r>
        <w:t>, el rubro de Otros Gastos se integra</w:t>
      </w:r>
      <w:r w:rsidRPr="001465AC">
        <w:t xml:space="preserve"> como sigue:</w:t>
      </w:r>
    </w:p>
    <w:p w14:paraId="0D4E5265" w14:textId="77777777" w:rsidR="00183D0B" w:rsidRDefault="00183D0B" w:rsidP="00C16E7C">
      <w:pPr>
        <w:pStyle w:val="TEXTONORMAL"/>
      </w:pPr>
    </w:p>
    <w:tbl>
      <w:tblPr>
        <w:tblW w:w="10662" w:type="dxa"/>
        <w:jc w:val="center"/>
        <w:tblCellMar>
          <w:left w:w="70" w:type="dxa"/>
          <w:right w:w="70" w:type="dxa"/>
        </w:tblCellMar>
        <w:tblLook w:val="04A0" w:firstRow="1" w:lastRow="0" w:firstColumn="1" w:lastColumn="0" w:noHBand="0" w:noVBand="1"/>
      </w:tblPr>
      <w:tblGrid>
        <w:gridCol w:w="6552"/>
        <w:gridCol w:w="2079"/>
        <w:gridCol w:w="2031"/>
      </w:tblGrid>
      <w:tr w:rsidR="00183D0B" w:rsidRPr="00183D0B" w14:paraId="6AC331A8" w14:textId="77777777" w:rsidTr="00E4106E">
        <w:trPr>
          <w:trHeight w:val="360"/>
          <w:jc w:val="center"/>
        </w:trPr>
        <w:tc>
          <w:tcPr>
            <w:tcW w:w="655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0BBAF3B" w14:textId="77777777" w:rsidR="00183D0B" w:rsidRPr="00183D0B" w:rsidRDefault="00183D0B" w:rsidP="00183D0B">
            <w:pPr>
              <w:spacing w:after="0" w:line="240" w:lineRule="auto"/>
              <w:jc w:val="center"/>
              <w:rPr>
                <w:rFonts w:ascii="Montserrat" w:eastAsia="Times New Roman" w:hAnsi="Montserrat"/>
                <w:b/>
                <w:bCs/>
                <w:color w:val="FFFFFF"/>
                <w:sz w:val="16"/>
                <w:szCs w:val="16"/>
                <w:lang w:val="es-MX" w:eastAsia="es-MX"/>
              </w:rPr>
            </w:pPr>
            <w:r w:rsidRPr="00183D0B">
              <w:rPr>
                <w:rFonts w:ascii="Montserrat" w:eastAsia="Times New Roman" w:hAnsi="Montserrat"/>
                <w:b/>
                <w:bCs/>
                <w:color w:val="FFFFFF"/>
                <w:sz w:val="16"/>
                <w:szCs w:val="16"/>
                <w:lang w:val="es-MX" w:eastAsia="es-MX"/>
              </w:rPr>
              <w:t>Concepto</w:t>
            </w:r>
          </w:p>
        </w:tc>
        <w:tc>
          <w:tcPr>
            <w:tcW w:w="411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B3E294D" w14:textId="77777777" w:rsidR="00183D0B" w:rsidRPr="00183D0B" w:rsidRDefault="00183D0B" w:rsidP="00183D0B">
            <w:pPr>
              <w:spacing w:after="0" w:line="240" w:lineRule="auto"/>
              <w:jc w:val="center"/>
              <w:rPr>
                <w:rFonts w:ascii="Montserrat" w:eastAsia="Times New Roman" w:hAnsi="Montserrat"/>
                <w:b/>
                <w:bCs/>
                <w:color w:val="FFFFFF"/>
                <w:sz w:val="16"/>
                <w:szCs w:val="16"/>
                <w:lang w:val="es-MX" w:eastAsia="es-MX"/>
              </w:rPr>
            </w:pPr>
            <w:r w:rsidRPr="00183D0B">
              <w:rPr>
                <w:rFonts w:ascii="Montserrat" w:eastAsia="Times New Roman" w:hAnsi="Montserrat"/>
                <w:b/>
                <w:bCs/>
                <w:color w:val="FFFFFF"/>
                <w:sz w:val="16"/>
                <w:szCs w:val="16"/>
                <w:lang w:val="es-MX" w:eastAsia="es-MX"/>
              </w:rPr>
              <w:t>Cifras en pesos</w:t>
            </w:r>
          </w:p>
        </w:tc>
      </w:tr>
      <w:tr w:rsidR="00183D0B" w:rsidRPr="00183D0B" w14:paraId="5DEA7B7D" w14:textId="77777777" w:rsidTr="00E4106E">
        <w:trPr>
          <w:trHeight w:val="360"/>
          <w:jc w:val="center"/>
        </w:trPr>
        <w:tc>
          <w:tcPr>
            <w:tcW w:w="6552" w:type="dxa"/>
            <w:vMerge/>
            <w:tcBorders>
              <w:top w:val="single" w:sz="12" w:space="0" w:color="808080"/>
              <w:left w:val="single" w:sz="12" w:space="0" w:color="FFFFFF"/>
              <w:bottom w:val="double" w:sz="6" w:space="0" w:color="808080"/>
              <w:right w:val="single" w:sz="12" w:space="0" w:color="FFFFFF"/>
            </w:tcBorders>
            <w:vAlign w:val="center"/>
            <w:hideMark/>
          </w:tcPr>
          <w:p w14:paraId="5D54ED32" w14:textId="77777777" w:rsidR="00183D0B" w:rsidRPr="00183D0B" w:rsidRDefault="00183D0B" w:rsidP="00183D0B">
            <w:pPr>
              <w:spacing w:after="0" w:line="240" w:lineRule="auto"/>
              <w:rPr>
                <w:rFonts w:ascii="Montserrat" w:eastAsia="Times New Roman" w:hAnsi="Montserrat"/>
                <w:b/>
                <w:bCs/>
                <w:color w:val="FFFFFF"/>
                <w:sz w:val="16"/>
                <w:szCs w:val="16"/>
                <w:lang w:val="es-MX" w:eastAsia="es-MX"/>
              </w:rPr>
            </w:pPr>
          </w:p>
        </w:tc>
        <w:tc>
          <w:tcPr>
            <w:tcW w:w="2079" w:type="dxa"/>
            <w:tcBorders>
              <w:top w:val="nil"/>
              <w:left w:val="nil"/>
              <w:bottom w:val="double" w:sz="6" w:space="0" w:color="808080"/>
              <w:right w:val="single" w:sz="12" w:space="0" w:color="FFFFFF"/>
            </w:tcBorders>
            <w:shd w:val="clear" w:color="000000" w:fill="D4C19C"/>
            <w:vAlign w:val="center"/>
            <w:hideMark/>
          </w:tcPr>
          <w:p w14:paraId="1E1C77F9" w14:textId="77777777" w:rsidR="00183D0B" w:rsidRPr="00183D0B" w:rsidRDefault="00183D0B" w:rsidP="00183D0B">
            <w:pPr>
              <w:spacing w:after="0" w:line="240" w:lineRule="auto"/>
              <w:jc w:val="center"/>
              <w:rPr>
                <w:rFonts w:ascii="Montserrat" w:eastAsia="Times New Roman" w:hAnsi="Montserrat"/>
                <w:b/>
                <w:bCs/>
                <w:color w:val="FFFFFF"/>
                <w:sz w:val="16"/>
                <w:szCs w:val="16"/>
                <w:lang w:val="es-MX" w:eastAsia="es-MX"/>
              </w:rPr>
            </w:pPr>
            <w:r w:rsidRPr="00183D0B">
              <w:rPr>
                <w:rFonts w:ascii="Montserrat" w:eastAsia="Times New Roman" w:hAnsi="Montserrat"/>
                <w:b/>
                <w:bCs/>
                <w:color w:val="FFFFFF"/>
                <w:sz w:val="16"/>
                <w:szCs w:val="16"/>
                <w:lang w:val="es-MX" w:eastAsia="es-MX"/>
              </w:rPr>
              <w:t>2022</w:t>
            </w:r>
          </w:p>
        </w:tc>
        <w:tc>
          <w:tcPr>
            <w:tcW w:w="2031" w:type="dxa"/>
            <w:tcBorders>
              <w:top w:val="nil"/>
              <w:left w:val="nil"/>
              <w:bottom w:val="double" w:sz="6" w:space="0" w:color="808080"/>
              <w:right w:val="single" w:sz="12" w:space="0" w:color="FFFFFF"/>
            </w:tcBorders>
            <w:shd w:val="clear" w:color="000000" w:fill="D4C19C"/>
            <w:vAlign w:val="center"/>
            <w:hideMark/>
          </w:tcPr>
          <w:p w14:paraId="45335902" w14:textId="77777777" w:rsidR="00183D0B" w:rsidRPr="00183D0B" w:rsidRDefault="00183D0B" w:rsidP="00183D0B">
            <w:pPr>
              <w:spacing w:after="0" w:line="240" w:lineRule="auto"/>
              <w:jc w:val="center"/>
              <w:rPr>
                <w:rFonts w:ascii="Montserrat" w:eastAsia="Times New Roman" w:hAnsi="Montserrat"/>
                <w:b/>
                <w:bCs/>
                <w:color w:val="FFFFFF"/>
                <w:sz w:val="16"/>
                <w:szCs w:val="16"/>
                <w:lang w:val="es-MX" w:eastAsia="es-MX"/>
              </w:rPr>
            </w:pPr>
            <w:r w:rsidRPr="00183D0B">
              <w:rPr>
                <w:rFonts w:ascii="Montserrat" w:eastAsia="Times New Roman" w:hAnsi="Montserrat"/>
                <w:b/>
                <w:bCs/>
                <w:color w:val="FFFFFF"/>
                <w:sz w:val="16"/>
                <w:szCs w:val="16"/>
                <w:lang w:val="es-MX" w:eastAsia="es-MX"/>
              </w:rPr>
              <w:t>2021</w:t>
            </w:r>
          </w:p>
        </w:tc>
      </w:tr>
      <w:tr w:rsidR="00183D0B" w:rsidRPr="00183D0B" w14:paraId="7079AFB5" w14:textId="77777777" w:rsidTr="00E4106E">
        <w:trPr>
          <w:trHeight w:val="344"/>
          <w:jc w:val="center"/>
        </w:trPr>
        <w:tc>
          <w:tcPr>
            <w:tcW w:w="6552" w:type="dxa"/>
            <w:tcBorders>
              <w:top w:val="nil"/>
              <w:left w:val="nil"/>
              <w:bottom w:val="nil"/>
              <w:right w:val="nil"/>
            </w:tcBorders>
            <w:shd w:val="clear" w:color="000000" w:fill="F2F2F2"/>
            <w:vAlign w:val="center"/>
            <w:hideMark/>
          </w:tcPr>
          <w:p w14:paraId="07905B7B" w14:textId="77777777" w:rsidR="00183D0B" w:rsidRPr="00183D0B" w:rsidRDefault="00183D0B" w:rsidP="00183D0B">
            <w:pPr>
              <w:spacing w:after="0" w:line="240" w:lineRule="auto"/>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Diferencias por Tipo de Cambio Negativas (</w:t>
            </w:r>
            <w:r w:rsidRPr="00183D0B">
              <w:rPr>
                <w:rFonts w:ascii="Montserrat" w:eastAsia="Times New Roman" w:hAnsi="Montserrat"/>
                <w:b/>
                <w:bCs/>
                <w:color w:val="000000"/>
                <w:sz w:val="15"/>
                <w:szCs w:val="15"/>
                <w:lang w:val="es-MX" w:eastAsia="es-MX"/>
              </w:rPr>
              <w:t>4.8.a)</w:t>
            </w:r>
          </w:p>
        </w:tc>
        <w:tc>
          <w:tcPr>
            <w:tcW w:w="2079" w:type="dxa"/>
            <w:tcBorders>
              <w:top w:val="nil"/>
              <w:left w:val="nil"/>
              <w:bottom w:val="nil"/>
              <w:right w:val="nil"/>
            </w:tcBorders>
            <w:shd w:val="clear" w:color="000000" w:fill="F2F2F2"/>
            <w:vAlign w:val="center"/>
            <w:hideMark/>
          </w:tcPr>
          <w:p w14:paraId="481234D5"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2,288,855,017.3</w:t>
            </w:r>
          </w:p>
        </w:tc>
        <w:tc>
          <w:tcPr>
            <w:tcW w:w="2031" w:type="dxa"/>
            <w:tcBorders>
              <w:top w:val="nil"/>
              <w:left w:val="nil"/>
              <w:bottom w:val="nil"/>
              <w:right w:val="nil"/>
            </w:tcBorders>
            <w:shd w:val="clear" w:color="000000" w:fill="F2F2F2"/>
            <w:vAlign w:val="center"/>
            <w:hideMark/>
          </w:tcPr>
          <w:p w14:paraId="7D819D3A"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425,911,695.0</w:t>
            </w:r>
          </w:p>
        </w:tc>
      </w:tr>
      <w:tr w:rsidR="00183D0B" w:rsidRPr="00183D0B" w14:paraId="37AFF71D" w14:textId="77777777" w:rsidTr="00E4106E">
        <w:trPr>
          <w:trHeight w:val="328"/>
          <w:jc w:val="center"/>
        </w:trPr>
        <w:tc>
          <w:tcPr>
            <w:tcW w:w="6552" w:type="dxa"/>
            <w:tcBorders>
              <w:top w:val="nil"/>
              <w:left w:val="nil"/>
              <w:bottom w:val="nil"/>
              <w:right w:val="nil"/>
            </w:tcBorders>
            <w:shd w:val="clear" w:color="000000" w:fill="F2F2F2"/>
            <w:vAlign w:val="center"/>
            <w:hideMark/>
          </w:tcPr>
          <w:p w14:paraId="0756937D" w14:textId="77777777" w:rsidR="00183D0B" w:rsidRPr="00183D0B" w:rsidRDefault="00183D0B" w:rsidP="00183D0B">
            <w:pPr>
              <w:spacing w:after="0" w:line="240" w:lineRule="auto"/>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Otros Gastos Varios</w:t>
            </w:r>
          </w:p>
        </w:tc>
        <w:tc>
          <w:tcPr>
            <w:tcW w:w="2079" w:type="dxa"/>
            <w:tcBorders>
              <w:top w:val="nil"/>
              <w:left w:val="nil"/>
              <w:bottom w:val="nil"/>
              <w:right w:val="nil"/>
            </w:tcBorders>
            <w:shd w:val="clear" w:color="000000" w:fill="F2F2F2"/>
            <w:vAlign w:val="center"/>
            <w:hideMark/>
          </w:tcPr>
          <w:p w14:paraId="1F64E912"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1,028,644,205.0</w:t>
            </w:r>
          </w:p>
        </w:tc>
        <w:tc>
          <w:tcPr>
            <w:tcW w:w="2031" w:type="dxa"/>
            <w:tcBorders>
              <w:top w:val="nil"/>
              <w:left w:val="nil"/>
              <w:bottom w:val="nil"/>
              <w:right w:val="nil"/>
            </w:tcBorders>
            <w:shd w:val="clear" w:color="000000" w:fill="F2F2F2"/>
            <w:vAlign w:val="center"/>
            <w:hideMark/>
          </w:tcPr>
          <w:p w14:paraId="7D4E1607"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808,320,953.8</w:t>
            </w:r>
          </w:p>
        </w:tc>
      </w:tr>
      <w:tr w:rsidR="00183D0B" w:rsidRPr="00183D0B" w14:paraId="456FD328" w14:textId="77777777" w:rsidTr="00E4106E">
        <w:trPr>
          <w:trHeight w:val="328"/>
          <w:jc w:val="center"/>
        </w:trPr>
        <w:tc>
          <w:tcPr>
            <w:tcW w:w="6552" w:type="dxa"/>
            <w:tcBorders>
              <w:top w:val="nil"/>
              <w:left w:val="nil"/>
              <w:bottom w:val="nil"/>
              <w:right w:val="nil"/>
            </w:tcBorders>
            <w:shd w:val="clear" w:color="000000" w:fill="F2F2F2"/>
            <w:vAlign w:val="center"/>
            <w:hideMark/>
          </w:tcPr>
          <w:p w14:paraId="74A7F504" w14:textId="77777777" w:rsidR="00183D0B" w:rsidRPr="00183D0B" w:rsidRDefault="00183D0B" w:rsidP="00183D0B">
            <w:pPr>
              <w:spacing w:after="0" w:line="240" w:lineRule="auto"/>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Pérdidas por Responsabilidades</w:t>
            </w:r>
          </w:p>
        </w:tc>
        <w:tc>
          <w:tcPr>
            <w:tcW w:w="2079" w:type="dxa"/>
            <w:tcBorders>
              <w:top w:val="nil"/>
              <w:left w:val="nil"/>
              <w:bottom w:val="nil"/>
              <w:right w:val="nil"/>
            </w:tcBorders>
            <w:shd w:val="clear" w:color="000000" w:fill="F2F2F2"/>
            <w:vAlign w:val="center"/>
            <w:hideMark/>
          </w:tcPr>
          <w:p w14:paraId="6A6F805A"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0.0</w:t>
            </w:r>
          </w:p>
        </w:tc>
        <w:tc>
          <w:tcPr>
            <w:tcW w:w="2031" w:type="dxa"/>
            <w:tcBorders>
              <w:top w:val="nil"/>
              <w:left w:val="nil"/>
              <w:bottom w:val="nil"/>
              <w:right w:val="nil"/>
            </w:tcBorders>
            <w:shd w:val="clear" w:color="000000" w:fill="F2F2F2"/>
            <w:vAlign w:val="center"/>
            <w:hideMark/>
          </w:tcPr>
          <w:p w14:paraId="529BFE18"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1,355,989.4</w:t>
            </w:r>
          </w:p>
        </w:tc>
      </w:tr>
      <w:tr w:rsidR="00183D0B" w:rsidRPr="00183D0B" w14:paraId="36362C70" w14:textId="77777777" w:rsidTr="00E4106E">
        <w:trPr>
          <w:trHeight w:val="328"/>
          <w:jc w:val="center"/>
        </w:trPr>
        <w:tc>
          <w:tcPr>
            <w:tcW w:w="6552" w:type="dxa"/>
            <w:tcBorders>
              <w:top w:val="nil"/>
              <w:left w:val="nil"/>
              <w:bottom w:val="nil"/>
              <w:right w:val="nil"/>
            </w:tcBorders>
            <w:shd w:val="clear" w:color="000000" w:fill="F2F2F2"/>
            <w:vAlign w:val="center"/>
            <w:hideMark/>
          </w:tcPr>
          <w:p w14:paraId="6E0489B5" w14:textId="77777777" w:rsidR="00183D0B" w:rsidRPr="00183D0B" w:rsidRDefault="00183D0B" w:rsidP="00183D0B">
            <w:pPr>
              <w:spacing w:after="0" w:line="240" w:lineRule="auto"/>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Diferencias de Cotizaciones Negativas en Valores Negociables</w:t>
            </w:r>
          </w:p>
        </w:tc>
        <w:tc>
          <w:tcPr>
            <w:tcW w:w="2079" w:type="dxa"/>
            <w:tcBorders>
              <w:top w:val="nil"/>
              <w:left w:val="nil"/>
              <w:bottom w:val="nil"/>
              <w:right w:val="nil"/>
            </w:tcBorders>
            <w:shd w:val="clear" w:color="000000" w:fill="F2F2F2"/>
            <w:vAlign w:val="center"/>
            <w:hideMark/>
          </w:tcPr>
          <w:p w14:paraId="3F23DF56"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10,476.9</w:t>
            </w:r>
          </w:p>
        </w:tc>
        <w:tc>
          <w:tcPr>
            <w:tcW w:w="2031" w:type="dxa"/>
            <w:tcBorders>
              <w:top w:val="nil"/>
              <w:left w:val="nil"/>
              <w:bottom w:val="nil"/>
              <w:right w:val="nil"/>
            </w:tcBorders>
            <w:shd w:val="clear" w:color="000000" w:fill="F2F2F2"/>
            <w:vAlign w:val="center"/>
            <w:hideMark/>
          </w:tcPr>
          <w:p w14:paraId="5E3BC660" w14:textId="77777777" w:rsidR="00183D0B" w:rsidRPr="00183D0B" w:rsidRDefault="00183D0B" w:rsidP="00183D0B">
            <w:pPr>
              <w:spacing w:after="0" w:line="240" w:lineRule="auto"/>
              <w:jc w:val="right"/>
              <w:rPr>
                <w:rFonts w:ascii="Montserrat" w:eastAsia="Times New Roman" w:hAnsi="Montserrat"/>
                <w:color w:val="000000"/>
                <w:sz w:val="15"/>
                <w:szCs w:val="15"/>
                <w:lang w:val="es-MX" w:eastAsia="es-MX"/>
              </w:rPr>
            </w:pPr>
            <w:r w:rsidRPr="00183D0B">
              <w:rPr>
                <w:rFonts w:ascii="Montserrat" w:eastAsia="Times New Roman" w:hAnsi="Montserrat"/>
                <w:color w:val="000000"/>
                <w:sz w:val="15"/>
                <w:szCs w:val="15"/>
                <w:lang w:val="es-MX" w:eastAsia="es-MX"/>
              </w:rPr>
              <w:t>0.0</w:t>
            </w:r>
          </w:p>
        </w:tc>
      </w:tr>
      <w:tr w:rsidR="00183D0B" w:rsidRPr="00183D0B" w14:paraId="20902897" w14:textId="77777777" w:rsidTr="00E4106E">
        <w:trPr>
          <w:trHeight w:val="344"/>
          <w:jc w:val="center"/>
        </w:trPr>
        <w:tc>
          <w:tcPr>
            <w:tcW w:w="6552" w:type="dxa"/>
            <w:tcBorders>
              <w:top w:val="nil"/>
              <w:left w:val="nil"/>
              <w:bottom w:val="single" w:sz="12" w:space="0" w:color="808080"/>
              <w:right w:val="nil"/>
            </w:tcBorders>
            <w:shd w:val="clear" w:color="000000" w:fill="F2F2F2"/>
            <w:vAlign w:val="center"/>
            <w:hideMark/>
          </w:tcPr>
          <w:p w14:paraId="57539D2D" w14:textId="77777777" w:rsidR="00183D0B" w:rsidRPr="00183D0B" w:rsidRDefault="00183D0B" w:rsidP="00183D0B">
            <w:pPr>
              <w:spacing w:after="0" w:line="240" w:lineRule="auto"/>
              <w:rPr>
                <w:rFonts w:ascii="Montserrat" w:eastAsia="Times New Roman" w:hAnsi="Montserrat"/>
                <w:b/>
                <w:bCs/>
                <w:color w:val="000000"/>
                <w:sz w:val="15"/>
                <w:szCs w:val="15"/>
                <w:lang w:val="es-MX" w:eastAsia="es-MX"/>
              </w:rPr>
            </w:pPr>
            <w:r w:rsidRPr="00183D0B">
              <w:rPr>
                <w:rFonts w:ascii="Montserrat" w:eastAsia="Times New Roman" w:hAnsi="Montserrat"/>
                <w:b/>
                <w:bCs/>
                <w:color w:val="000000"/>
                <w:sz w:val="15"/>
                <w:szCs w:val="15"/>
                <w:lang w:val="es-MX" w:eastAsia="es-MX"/>
              </w:rPr>
              <w:t>Total Otros Gastos</w:t>
            </w:r>
          </w:p>
        </w:tc>
        <w:tc>
          <w:tcPr>
            <w:tcW w:w="2079" w:type="dxa"/>
            <w:tcBorders>
              <w:top w:val="nil"/>
              <w:left w:val="nil"/>
              <w:bottom w:val="single" w:sz="12" w:space="0" w:color="808080"/>
              <w:right w:val="nil"/>
            </w:tcBorders>
            <w:shd w:val="clear" w:color="000000" w:fill="F2F2F2"/>
            <w:vAlign w:val="center"/>
            <w:hideMark/>
          </w:tcPr>
          <w:p w14:paraId="3DC1B50B" w14:textId="77777777" w:rsidR="00183D0B" w:rsidRPr="00183D0B" w:rsidRDefault="00183D0B" w:rsidP="00183D0B">
            <w:pPr>
              <w:spacing w:after="0" w:line="240" w:lineRule="auto"/>
              <w:jc w:val="right"/>
              <w:rPr>
                <w:rFonts w:ascii="Montserrat" w:eastAsia="Times New Roman" w:hAnsi="Montserrat"/>
                <w:b/>
                <w:bCs/>
                <w:color w:val="000000"/>
                <w:sz w:val="15"/>
                <w:szCs w:val="15"/>
                <w:lang w:val="es-MX" w:eastAsia="es-MX"/>
              </w:rPr>
            </w:pPr>
            <w:r w:rsidRPr="00183D0B">
              <w:rPr>
                <w:rFonts w:ascii="Montserrat" w:eastAsia="Times New Roman" w:hAnsi="Montserrat"/>
                <w:b/>
                <w:bCs/>
                <w:color w:val="000000"/>
                <w:sz w:val="15"/>
                <w:szCs w:val="15"/>
                <w:lang w:val="es-MX" w:eastAsia="es-MX"/>
              </w:rPr>
              <w:t>3,317,509,699.2</w:t>
            </w:r>
          </w:p>
        </w:tc>
        <w:tc>
          <w:tcPr>
            <w:tcW w:w="2031" w:type="dxa"/>
            <w:tcBorders>
              <w:top w:val="nil"/>
              <w:left w:val="nil"/>
              <w:bottom w:val="single" w:sz="12" w:space="0" w:color="808080"/>
              <w:right w:val="nil"/>
            </w:tcBorders>
            <w:shd w:val="clear" w:color="000000" w:fill="F2F2F2"/>
            <w:vAlign w:val="center"/>
            <w:hideMark/>
          </w:tcPr>
          <w:p w14:paraId="4B4B3DD6" w14:textId="77777777" w:rsidR="00183D0B" w:rsidRPr="00183D0B" w:rsidRDefault="00183D0B" w:rsidP="00183D0B">
            <w:pPr>
              <w:spacing w:after="0" w:line="240" w:lineRule="auto"/>
              <w:jc w:val="right"/>
              <w:rPr>
                <w:rFonts w:ascii="Montserrat" w:eastAsia="Times New Roman" w:hAnsi="Montserrat"/>
                <w:b/>
                <w:bCs/>
                <w:color w:val="000000"/>
                <w:sz w:val="15"/>
                <w:szCs w:val="15"/>
                <w:lang w:val="es-MX" w:eastAsia="es-MX"/>
              </w:rPr>
            </w:pPr>
            <w:r w:rsidRPr="00183D0B">
              <w:rPr>
                <w:rFonts w:ascii="Montserrat" w:eastAsia="Times New Roman" w:hAnsi="Montserrat"/>
                <w:b/>
                <w:bCs/>
                <w:color w:val="000000"/>
                <w:sz w:val="15"/>
                <w:szCs w:val="15"/>
                <w:lang w:val="es-MX" w:eastAsia="es-MX"/>
              </w:rPr>
              <w:t>1,235,588,638.2</w:t>
            </w:r>
          </w:p>
        </w:tc>
      </w:tr>
    </w:tbl>
    <w:p w14:paraId="5571E745" w14:textId="77777777" w:rsidR="00183D0B" w:rsidRDefault="00183D0B" w:rsidP="00C16E7C">
      <w:pPr>
        <w:pStyle w:val="TEXTONORMAL"/>
      </w:pPr>
    </w:p>
    <w:p w14:paraId="0DC227AC" w14:textId="77777777" w:rsidR="00620939" w:rsidRPr="009B5CB7" w:rsidRDefault="009D5C48" w:rsidP="003F2A12">
      <w:pPr>
        <w:numPr>
          <w:ilvl w:val="0"/>
          <w:numId w:val="47"/>
        </w:numPr>
        <w:spacing w:after="120" w:line="250" w:lineRule="exact"/>
        <w:jc w:val="both"/>
        <w:rPr>
          <w:rFonts w:ascii="Times New Roman" w:eastAsia="Times New Roman" w:hAnsi="Times New Roman"/>
          <w:sz w:val="24"/>
          <w:szCs w:val="24"/>
          <w:lang w:val="es-MX" w:eastAsia="es-MX"/>
        </w:rPr>
      </w:pPr>
      <w:r w:rsidRPr="00090F7F">
        <w:rPr>
          <w:rFonts w:ascii="Montserrat" w:hAnsi="Montserrat"/>
          <w:b/>
          <w:sz w:val="18"/>
          <w:szCs w:val="18"/>
        </w:rPr>
        <w:t>4.8.a)</w:t>
      </w:r>
      <w:r w:rsidRPr="00EC12CE">
        <w:rPr>
          <w:b/>
        </w:rPr>
        <w:t xml:space="preserve"> </w:t>
      </w:r>
      <w:r w:rsidRPr="00EB77FE">
        <w:rPr>
          <w:rFonts w:ascii="Montserrat" w:hAnsi="Montserrat"/>
          <w:sz w:val="18"/>
          <w:szCs w:val="18"/>
        </w:rPr>
        <w:t xml:space="preserve">En cumplimiento a las “Políticas y Directrices para la Inversión de las Reservas y Fondo Laboral”, </w:t>
      </w:r>
      <w:r>
        <w:rPr>
          <w:rFonts w:ascii="Montserrat" w:hAnsi="Montserrat"/>
          <w:sz w:val="18"/>
          <w:szCs w:val="18"/>
        </w:rPr>
        <w:t>l</w:t>
      </w:r>
      <w:r w:rsidRPr="00EB77FE">
        <w:rPr>
          <w:rFonts w:ascii="Montserrat" w:hAnsi="Montserrat"/>
          <w:sz w:val="18"/>
          <w:szCs w:val="18"/>
        </w:rPr>
        <w:t>a Comisión de Inversiones Financieras mediante el Acuerdo CIF 2-Ex19.21, autorizó invertir en moneda extranjera a partir de 2021, motivo por el cual las diferencias cambiarias incrementaron</w:t>
      </w:r>
      <w:r w:rsidR="00BD28EA">
        <w:rPr>
          <w:rFonts w:ascii="Montserrat" w:hAnsi="Montserrat"/>
          <w:sz w:val="18"/>
          <w:szCs w:val="18"/>
        </w:rPr>
        <w:t>.</w:t>
      </w:r>
    </w:p>
    <w:p w14:paraId="6C78B0A6" w14:textId="77777777" w:rsidR="009B5CB7" w:rsidRDefault="009B5CB7" w:rsidP="009B5CB7">
      <w:pPr>
        <w:spacing w:after="120" w:line="250" w:lineRule="exact"/>
        <w:jc w:val="both"/>
        <w:rPr>
          <w:rFonts w:ascii="Times New Roman" w:eastAsia="Times New Roman" w:hAnsi="Times New Roman"/>
          <w:sz w:val="24"/>
          <w:szCs w:val="24"/>
          <w:lang w:val="es-MX" w:eastAsia="es-MX"/>
        </w:rPr>
      </w:pPr>
    </w:p>
    <w:p w14:paraId="6D1DAEDD" w14:textId="77777777" w:rsidR="00AE7030" w:rsidRDefault="00AE7030" w:rsidP="00C52F96">
      <w:pPr>
        <w:pStyle w:val="Prrafodelista"/>
        <w:spacing w:before="240" w:after="120" w:line="250" w:lineRule="exact"/>
        <w:ind w:left="0"/>
        <w:contextualSpacing w:val="0"/>
        <w:rPr>
          <w:rFonts w:ascii="Montserrat" w:hAnsi="Montserrat" w:cs="Arial"/>
          <w:b/>
          <w:caps/>
        </w:rPr>
      </w:pPr>
    </w:p>
    <w:p w14:paraId="26CA371E"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36B143DB"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4984E6C0"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0A952474" w14:textId="37FD33D7" w:rsidR="005A0A86" w:rsidRDefault="005A0A86" w:rsidP="00C52F96">
      <w:pPr>
        <w:pStyle w:val="Prrafodelista"/>
        <w:spacing w:before="240" w:after="120" w:line="250" w:lineRule="exact"/>
        <w:ind w:left="0"/>
        <w:contextualSpacing w:val="0"/>
        <w:rPr>
          <w:rFonts w:ascii="Montserrat" w:hAnsi="Montserrat" w:cs="Arial"/>
          <w:b/>
          <w:caps/>
        </w:rPr>
      </w:pPr>
    </w:p>
    <w:p w14:paraId="07BA8C49" w14:textId="77777777" w:rsidR="006115D0" w:rsidRDefault="006115D0" w:rsidP="00C52F96">
      <w:pPr>
        <w:pStyle w:val="Prrafodelista"/>
        <w:spacing w:before="240" w:after="120" w:line="250" w:lineRule="exact"/>
        <w:ind w:left="0"/>
        <w:contextualSpacing w:val="0"/>
        <w:rPr>
          <w:rFonts w:ascii="Montserrat" w:hAnsi="Montserrat" w:cs="Arial"/>
          <w:b/>
          <w:caps/>
        </w:rPr>
      </w:pPr>
    </w:p>
    <w:p w14:paraId="16A41B4F"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30B85CC6"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2BCBDED0" w14:textId="77777777" w:rsidR="009D5C48" w:rsidRPr="000E081C"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0E081C">
        <w:rPr>
          <w:rFonts w:ascii="Montserrat" w:hAnsi="Montserrat" w:cs="Arial"/>
          <w:b/>
          <w:caps/>
        </w:rPr>
        <w:t>Notas al Estado de Variación en LA HACIENDA PÚBLICA</w:t>
      </w:r>
    </w:p>
    <w:p w14:paraId="472FA4F5" w14:textId="77777777" w:rsidR="009D5C48" w:rsidRPr="000E081C" w:rsidRDefault="009D5C48" w:rsidP="00625F54">
      <w:pPr>
        <w:pStyle w:val="SUBTITULO2"/>
      </w:pPr>
      <w:r w:rsidRPr="000E081C">
        <w:t>Patrimonio</w:t>
      </w:r>
    </w:p>
    <w:p w14:paraId="09D82B37" w14:textId="77777777" w:rsidR="009D5C48" w:rsidRPr="009B5CB7" w:rsidRDefault="009D5C48" w:rsidP="009D5C48">
      <w:pPr>
        <w:pStyle w:val="TEXTONORMAL"/>
        <w:rPr>
          <w:lang w:val="es-MX"/>
        </w:rPr>
      </w:pPr>
    </w:p>
    <w:p w14:paraId="44FE9926" w14:textId="77777777" w:rsidR="009D5C48" w:rsidRPr="009B5CB7" w:rsidRDefault="009D5C48" w:rsidP="00C16E7C">
      <w:pPr>
        <w:pStyle w:val="TEXTONORMAL"/>
      </w:pPr>
      <w:bookmarkStart w:id="1" w:name="_Hlk94189572"/>
      <w:r w:rsidRPr="009B5CB7">
        <w:t>El patrimonio del Instituto lo constituyen entre otros</w:t>
      </w:r>
      <w:bookmarkEnd w:id="1"/>
      <w:r w:rsidRPr="009B5CB7">
        <w:t>, los bienes muebles e inmuebles, los derechos de propiedad y posesión de los bienes adjudicados que por justo título obren en poder del Instituto y los productos de cualquier clase que generen los bienes y derechos patrimoniales. Duran</w:t>
      </w:r>
      <w:r w:rsidR="00AB6D13">
        <w:t>te los pe</w:t>
      </w:r>
      <w:r w:rsidR="00517259">
        <w:t>riodos terminados al 30 de septiembre</w:t>
      </w:r>
      <w:r w:rsidR="000E081C">
        <w:t xml:space="preserve"> </w:t>
      </w:r>
      <w:r w:rsidRPr="009B5CB7">
        <w:t>202</w:t>
      </w:r>
      <w:r w:rsidR="000E081C">
        <w:t>2</w:t>
      </w:r>
      <w:r w:rsidRPr="009B5CB7">
        <w:t xml:space="preserve"> y</w:t>
      </w:r>
      <w:r w:rsidR="000E081C">
        <w:t xml:space="preserve"> 31 de diciembre</w:t>
      </w:r>
      <w:r w:rsidRPr="009B5CB7">
        <w:t xml:space="preserve"> 202</w:t>
      </w:r>
      <w:r w:rsidR="000E081C">
        <w:t>1</w:t>
      </w:r>
      <w:r w:rsidRPr="009B5CB7">
        <w:t>, se reconocieron los siguientes eventos:</w:t>
      </w:r>
    </w:p>
    <w:p w14:paraId="76461B2C" w14:textId="77777777" w:rsidR="009D5C48" w:rsidRPr="009B5CB7" w:rsidRDefault="009D5C48" w:rsidP="003F2A12">
      <w:pPr>
        <w:pStyle w:val="TEXTONORMAL"/>
        <w:numPr>
          <w:ilvl w:val="0"/>
          <w:numId w:val="48"/>
        </w:numPr>
        <w:ind w:left="357" w:hanging="357"/>
      </w:pPr>
      <w:r w:rsidRPr="009B5CB7">
        <w:t>El superávit por revaluación lo constituye el efecto acumulado de la inflación en el patrimonio reconocido hasta el 31 de diciembre de 2007, el cual se registra en el exceso o insuficiencia en la actualización del patrimonio.</w:t>
      </w:r>
    </w:p>
    <w:p w14:paraId="7A8D550D" w14:textId="77777777" w:rsidR="009D5C48" w:rsidRPr="009B5CB7" w:rsidRDefault="009D5C48" w:rsidP="003F2A12">
      <w:pPr>
        <w:pStyle w:val="TEXTONORMAL"/>
        <w:numPr>
          <w:ilvl w:val="0"/>
          <w:numId w:val="48"/>
        </w:numPr>
        <w:ind w:left="357" w:hanging="357"/>
      </w:pPr>
      <w:r w:rsidRPr="009B5CB7">
        <w:t>El Instituto registra en el patrimonio la ganancia no realizada de los instrumentos financieros clasificados como para cobrar o vender conforme a la NIF C-2 “</w:t>
      </w:r>
      <w:r w:rsidR="00A07F10" w:rsidRPr="00B139E5">
        <w:t xml:space="preserve">Inversión en </w:t>
      </w:r>
      <w:r w:rsidRPr="009B5CB7">
        <w:t>Instrumentos Financieros”, dicha ganancia se registrará en el Estado de Actividades en el momento que se realicen, sin embargo, para dar cumplimiento al artículo 278 de la LSS, se registra una provisión para igualar las inversiones.</w:t>
      </w:r>
    </w:p>
    <w:p w14:paraId="1B04CD7C" w14:textId="77777777" w:rsidR="00BA724A" w:rsidRDefault="00B57DBF" w:rsidP="003F2A12">
      <w:pPr>
        <w:pStyle w:val="TEXTONORMAL"/>
        <w:numPr>
          <w:ilvl w:val="0"/>
          <w:numId w:val="48"/>
        </w:numPr>
        <w:ind w:left="357" w:hanging="357"/>
      </w:pPr>
      <w:r>
        <w:t xml:space="preserve">Al </w:t>
      </w:r>
      <w:r w:rsidR="00517259">
        <w:t>30 de septiembre</w:t>
      </w:r>
      <w:r w:rsidR="00D91204">
        <w:t xml:space="preserve"> </w:t>
      </w:r>
      <w:r w:rsidR="00D91204" w:rsidRPr="009B5CB7">
        <w:t>202</w:t>
      </w:r>
      <w:r w:rsidR="00D91204">
        <w:t>2</w:t>
      </w:r>
      <w:r w:rsidR="009D5C48" w:rsidRPr="009B5CB7">
        <w:t xml:space="preserve">, el Patrimonio Contribuido Institucional presentó un incremento por </w:t>
      </w:r>
      <w:r w:rsidR="000020AE">
        <w:t>459,231,436.</w:t>
      </w:r>
      <w:r w:rsidR="00CA3A14">
        <w:t>7</w:t>
      </w:r>
      <w:r w:rsidR="000020AE">
        <w:t xml:space="preserve"> </w:t>
      </w:r>
      <w:r w:rsidR="009D5C48" w:rsidRPr="009B5CB7">
        <w:t>pesos, principalmente por la donación de bienes para atender la contingencia sanitaria ocasionada por la pandemia del virus SARS-CoV-2 (COVID 19).</w:t>
      </w:r>
    </w:p>
    <w:p w14:paraId="224BC7F8" w14:textId="77777777" w:rsidR="005B23A1" w:rsidRPr="009B5CB7" w:rsidRDefault="005B23A1" w:rsidP="005B23A1">
      <w:pPr>
        <w:pStyle w:val="TEXTONORMAL"/>
        <w:ind w:left="357"/>
      </w:pPr>
    </w:p>
    <w:p w14:paraId="5043383B" w14:textId="77777777" w:rsidR="009D5C48" w:rsidRPr="009B5CB7"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9B5CB7">
        <w:rPr>
          <w:rFonts w:ascii="Montserrat" w:hAnsi="Montserrat" w:cs="Arial"/>
          <w:b/>
          <w:caps/>
        </w:rPr>
        <w:t>Notas al Estado de Flujos de Efectivo</w:t>
      </w:r>
    </w:p>
    <w:p w14:paraId="3DD0FFAF" w14:textId="77777777" w:rsidR="009D5C48" w:rsidRPr="009B5CB7" w:rsidRDefault="009D5C48" w:rsidP="001A3447">
      <w:pPr>
        <w:pStyle w:val="SUBTITULO2"/>
        <w:numPr>
          <w:ilvl w:val="0"/>
          <w:numId w:val="7"/>
        </w:numPr>
        <w:ind w:left="0" w:firstLine="0"/>
      </w:pPr>
      <w:r w:rsidRPr="009B5CB7">
        <w:t>Efectivo y EquivalenteS</w:t>
      </w:r>
    </w:p>
    <w:p w14:paraId="15EDA4A8" w14:textId="77777777" w:rsidR="009D5C48" w:rsidRPr="0008347D" w:rsidRDefault="009D5C48" w:rsidP="00AE7030">
      <w:pPr>
        <w:pStyle w:val="TEXTONORMAL"/>
        <w:spacing w:after="0"/>
        <w:rPr>
          <w:lang w:val="es-MX"/>
        </w:rPr>
      </w:pPr>
    </w:p>
    <w:p w14:paraId="58D290D4" w14:textId="77777777" w:rsidR="009D5C48" w:rsidRDefault="009D5C48" w:rsidP="003F2A12">
      <w:pPr>
        <w:pStyle w:val="VIETAFLECHA"/>
        <w:numPr>
          <w:ilvl w:val="1"/>
          <w:numId w:val="49"/>
        </w:numPr>
        <w:ind w:left="357" w:hanging="357"/>
      </w:pPr>
      <w:r w:rsidRPr="00D257A2">
        <w:t>El análisis de los saldos iniciales</w:t>
      </w:r>
      <w:r w:rsidRPr="00C16E7C">
        <w:t xml:space="preserve"> y finales del rubro de Efectivo y Equivalentes es como se muestra a continuación:</w:t>
      </w:r>
    </w:p>
    <w:p w14:paraId="210B0004" w14:textId="77777777" w:rsidR="007D54FC" w:rsidRDefault="007D54FC" w:rsidP="007D54FC">
      <w:pPr>
        <w:pStyle w:val="TEXTONORMAL"/>
      </w:pPr>
    </w:p>
    <w:tbl>
      <w:tblPr>
        <w:tblW w:w="10062" w:type="dxa"/>
        <w:jc w:val="center"/>
        <w:tblCellMar>
          <w:left w:w="70" w:type="dxa"/>
          <w:right w:w="70" w:type="dxa"/>
        </w:tblCellMar>
        <w:tblLook w:val="04A0" w:firstRow="1" w:lastRow="0" w:firstColumn="1" w:lastColumn="0" w:noHBand="0" w:noVBand="1"/>
      </w:tblPr>
      <w:tblGrid>
        <w:gridCol w:w="6544"/>
        <w:gridCol w:w="1769"/>
        <w:gridCol w:w="1749"/>
      </w:tblGrid>
      <w:tr w:rsidR="007D54FC" w:rsidRPr="007D54FC" w14:paraId="1BC3BC50" w14:textId="77777777" w:rsidTr="007D54FC">
        <w:trPr>
          <w:trHeight w:val="272"/>
          <w:jc w:val="center"/>
        </w:trPr>
        <w:tc>
          <w:tcPr>
            <w:tcW w:w="654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3E0C5B9E" w14:textId="77777777" w:rsidR="007D54FC" w:rsidRPr="007D54FC" w:rsidRDefault="007D54FC" w:rsidP="007D54FC">
            <w:pPr>
              <w:spacing w:after="0" w:line="240" w:lineRule="auto"/>
              <w:jc w:val="center"/>
              <w:rPr>
                <w:rFonts w:ascii="Montserrat" w:eastAsia="Times New Roman" w:hAnsi="Montserrat"/>
                <w:b/>
                <w:bCs/>
                <w:color w:val="FFFFFF"/>
                <w:sz w:val="16"/>
                <w:szCs w:val="16"/>
                <w:lang w:val="es-MX" w:eastAsia="es-MX"/>
              </w:rPr>
            </w:pPr>
            <w:r w:rsidRPr="007D54FC">
              <w:rPr>
                <w:rFonts w:ascii="Montserrat" w:eastAsia="Times New Roman" w:hAnsi="Montserrat"/>
                <w:b/>
                <w:bCs/>
                <w:color w:val="FFFFFF"/>
                <w:sz w:val="16"/>
                <w:szCs w:val="16"/>
                <w:lang w:val="es-MX" w:eastAsia="es-MX"/>
              </w:rPr>
              <w:t>Concepto</w:t>
            </w:r>
          </w:p>
        </w:tc>
        <w:tc>
          <w:tcPr>
            <w:tcW w:w="351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B237EC8" w14:textId="77777777" w:rsidR="007D54FC" w:rsidRPr="007D54FC" w:rsidRDefault="007D54FC" w:rsidP="007D54FC">
            <w:pPr>
              <w:spacing w:after="0" w:line="240" w:lineRule="auto"/>
              <w:jc w:val="center"/>
              <w:rPr>
                <w:rFonts w:ascii="Montserrat" w:eastAsia="Times New Roman" w:hAnsi="Montserrat"/>
                <w:b/>
                <w:bCs/>
                <w:color w:val="FFFFFF"/>
                <w:sz w:val="16"/>
                <w:szCs w:val="16"/>
                <w:lang w:val="es-MX" w:eastAsia="es-MX"/>
              </w:rPr>
            </w:pPr>
            <w:r w:rsidRPr="007D54FC">
              <w:rPr>
                <w:rFonts w:ascii="Montserrat" w:eastAsia="Times New Roman" w:hAnsi="Montserrat"/>
                <w:b/>
                <w:bCs/>
                <w:color w:val="FFFFFF"/>
                <w:sz w:val="16"/>
                <w:szCs w:val="16"/>
                <w:lang w:val="es-MX" w:eastAsia="es-MX"/>
              </w:rPr>
              <w:t>Cifras en pesos</w:t>
            </w:r>
          </w:p>
        </w:tc>
      </w:tr>
      <w:tr w:rsidR="007D54FC" w:rsidRPr="007D54FC" w14:paraId="185D59F8" w14:textId="77777777" w:rsidTr="007D54FC">
        <w:trPr>
          <w:trHeight w:val="272"/>
          <w:jc w:val="center"/>
        </w:trPr>
        <w:tc>
          <w:tcPr>
            <w:tcW w:w="6544" w:type="dxa"/>
            <w:vMerge/>
            <w:tcBorders>
              <w:top w:val="single" w:sz="12" w:space="0" w:color="808080"/>
              <w:left w:val="nil"/>
              <w:bottom w:val="double" w:sz="6" w:space="0" w:color="808080"/>
              <w:right w:val="single" w:sz="12" w:space="0" w:color="FFFFFF"/>
            </w:tcBorders>
            <w:vAlign w:val="center"/>
            <w:hideMark/>
          </w:tcPr>
          <w:p w14:paraId="3F1C1411" w14:textId="77777777" w:rsidR="007D54FC" w:rsidRPr="007D54FC" w:rsidRDefault="007D54FC" w:rsidP="007D54FC">
            <w:pPr>
              <w:spacing w:after="0" w:line="240" w:lineRule="auto"/>
              <w:rPr>
                <w:rFonts w:ascii="Montserrat" w:eastAsia="Times New Roman" w:hAnsi="Montserrat"/>
                <w:b/>
                <w:bCs/>
                <w:color w:val="FFFFFF"/>
                <w:sz w:val="16"/>
                <w:szCs w:val="16"/>
                <w:lang w:val="es-MX" w:eastAsia="es-MX"/>
              </w:rPr>
            </w:pPr>
          </w:p>
        </w:tc>
        <w:tc>
          <w:tcPr>
            <w:tcW w:w="1769" w:type="dxa"/>
            <w:tcBorders>
              <w:top w:val="nil"/>
              <w:left w:val="nil"/>
              <w:bottom w:val="double" w:sz="6" w:space="0" w:color="808080"/>
              <w:right w:val="single" w:sz="12" w:space="0" w:color="FFFFFF"/>
            </w:tcBorders>
            <w:shd w:val="clear" w:color="000000" w:fill="D4C19C"/>
            <w:vAlign w:val="center"/>
            <w:hideMark/>
          </w:tcPr>
          <w:p w14:paraId="333AA333" w14:textId="77777777" w:rsidR="007D54FC" w:rsidRPr="007D54FC" w:rsidRDefault="007D54FC" w:rsidP="007D54FC">
            <w:pPr>
              <w:spacing w:after="0" w:line="240" w:lineRule="auto"/>
              <w:jc w:val="center"/>
              <w:rPr>
                <w:rFonts w:ascii="Montserrat" w:eastAsia="Times New Roman" w:hAnsi="Montserrat"/>
                <w:b/>
                <w:bCs/>
                <w:color w:val="FFFFFF"/>
                <w:sz w:val="16"/>
                <w:szCs w:val="16"/>
                <w:lang w:val="es-MX" w:eastAsia="es-MX"/>
              </w:rPr>
            </w:pPr>
            <w:r w:rsidRPr="007D54FC">
              <w:rPr>
                <w:rFonts w:ascii="Montserrat" w:eastAsia="Times New Roman" w:hAnsi="Montserrat"/>
                <w:b/>
                <w:bCs/>
                <w:color w:val="FFFFFF"/>
                <w:sz w:val="16"/>
                <w:szCs w:val="16"/>
                <w:lang w:val="es-MX" w:eastAsia="es-MX"/>
              </w:rPr>
              <w:t>sep-22</w:t>
            </w:r>
          </w:p>
        </w:tc>
        <w:tc>
          <w:tcPr>
            <w:tcW w:w="1749" w:type="dxa"/>
            <w:tcBorders>
              <w:top w:val="nil"/>
              <w:left w:val="nil"/>
              <w:bottom w:val="double" w:sz="6" w:space="0" w:color="808080"/>
              <w:right w:val="single" w:sz="12" w:space="0" w:color="FFFFFF"/>
            </w:tcBorders>
            <w:shd w:val="clear" w:color="000000" w:fill="D4C19C"/>
            <w:vAlign w:val="center"/>
            <w:hideMark/>
          </w:tcPr>
          <w:p w14:paraId="6B9398E4" w14:textId="77777777" w:rsidR="007D54FC" w:rsidRPr="007D54FC" w:rsidRDefault="007D54FC" w:rsidP="007D54FC">
            <w:pPr>
              <w:spacing w:after="0" w:line="240" w:lineRule="auto"/>
              <w:jc w:val="center"/>
              <w:rPr>
                <w:rFonts w:ascii="Montserrat" w:eastAsia="Times New Roman" w:hAnsi="Montserrat"/>
                <w:b/>
                <w:bCs/>
                <w:color w:val="FFFFFF"/>
                <w:sz w:val="16"/>
                <w:szCs w:val="16"/>
                <w:lang w:val="es-MX" w:eastAsia="es-MX"/>
              </w:rPr>
            </w:pPr>
            <w:r w:rsidRPr="007D54FC">
              <w:rPr>
                <w:rFonts w:ascii="Montserrat" w:eastAsia="Times New Roman" w:hAnsi="Montserrat"/>
                <w:b/>
                <w:bCs/>
                <w:color w:val="FFFFFF"/>
                <w:sz w:val="16"/>
                <w:szCs w:val="16"/>
                <w:lang w:val="es-MX" w:eastAsia="es-MX"/>
              </w:rPr>
              <w:t>dic-21</w:t>
            </w:r>
          </w:p>
        </w:tc>
      </w:tr>
      <w:tr w:rsidR="007D54FC" w:rsidRPr="007D54FC" w14:paraId="20FD34FD" w14:textId="77777777" w:rsidTr="007D54FC">
        <w:trPr>
          <w:trHeight w:val="260"/>
          <w:jc w:val="center"/>
        </w:trPr>
        <w:tc>
          <w:tcPr>
            <w:tcW w:w="6544" w:type="dxa"/>
            <w:tcBorders>
              <w:top w:val="nil"/>
              <w:left w:val="nil"/>
              <w:bottom w:val="nil"/>
              <w:right w:val="nil"/>
            </w:tcBorders>
            <w:shd w:val="clear" w:color="000000" w:fill="F2F2F2"/>
            <w:vAlign w:val="center"/>
            <w:hideMark/>
          </w:tcPr>
          <w:p w14:paraId="50512B60" w14:textId="77777777" w:rsidR="007D54FC" w:rsidRPr="007D54FC" w:rsidRDefault="007D54FC" w:rsidP="007D54FC">
            <w:pPr>
              <w:spacing w:after="0" w:line="240" w:lineRule="auto"/>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 xml:space="preserve">Inversiones Temporales </w:t>
            </w:r>
          </w:p>
        </w:tc>
        <w:tc>
          <w:tcPr>
            <w:tcW w:w="1769" w:type="dxa"/>
            <w:tcBorders>
              <w:top w:val="nil"/>
              <w:left w:val="nil"/>
              <w:bottom w:val="nil"/>
              <w:right w:val="nil"/>
            </w:tcBorders>
            <w:shd w:val="clear" w:color="000000" w:fill="F2F2F2"/>
            <w:vAlign w:val="center"/>
            <w:hideMark/>
          </w:tcPr>
          <w:p w14:paraId="54F9E920"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74,021,661,652.</w:t>
            </w:r>
            <w:r w:rsidR="00673A32">
              <w:rPr>
                <w:rFonts w:ascii="Montserrat" w:eastAsia="Times New Roman" w:hAnsi="Montserrat"/>
                <w:color w:val="000000"/>
                <w:sz w:val="15"/>
                <w:szCs w:val="15"/>
                <w:lang w:val="es-MX" w:eastAsia="es-MX"/>
              </w:rPr>
              <w:t>5</w:t>
            </w:r>
          </w:p>
        </w:tc>
        <w:tc>
          <w:tcPr>
            <w:tcW w:w="1749" w:type="dxa"/>
            <w:tcBorders>
              <w:top w:val="nil"/>
              <w:left w:val="nil"/>
              <w:bottom w:val="nil"/>
              <w:right w:val="nil"/>
            </w:tcBorders>
            <w:shd w:val="clear" w:color="000000" w:fill="F2F2F2"/>
            <w:vAlign w:val="center"/>
            <w:hideMark/>
          </w:tcPr>
          <w:p w14:paraId="12715602"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110,825,880,071.4</w:t>
            </w:r>
          </w:p>
        </w:tc>
      </w:tr>
      <w:tr w:rsidR="007D54FC" w:rsidRPr="007D54FC" w14:paraId="045388C5" w14:textId="77777777" w:rsidTr="007D54FC">
        <w:trPr>
          <w:trHeight w:val="248"/>
          <w:jc w:val="center"/>
        </w:trPr>
        <w:tc>
          <w:tcPr>
            <w:tcW w:w="6544" w:type="dxa"/>
            <w:tcBorders>
              <w:top w:val="nil"/>
              <w:left w:val="nil"/>
              <w:bottom w:val="nil"/>
              <w:right w:val="nil"/>
            </w:tcBorders>
            <w:shd w:val="clear" w:color="000000" w:fill="F2F2F2"/>
            <w:vAlign w:val="center"/>
            <w:hideMark/>
          </w:tcPr>
          <w:p w14:paraId="2CE69279" w14:textId="77777777" w:rsidR="007D54FC" w:rsidRPr="007D54FC" w:rsidRDefault="007D54FC" w:rsidP="007D54FC">
            <w:pPr>
              <w:spacing w:after="0" w:line="240" w:lineRule="auto"/>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 xml:space="preserve">Depósitos de Fondos de Terceros en Garantía y/o Administración </w:t>
            </w:r>
          </w:p>
        </w:tc>
        <w:tc>
          <w:tcPr>
            <w:tcW w:w="1769" w:type="dxa"/>
            <w:tcBorders>
              <w:top w:val="nil"/>
              <w:left w:val="nil"/>
              <w:bottom w:val="nil"/>
              <w:right w:val="nil"/>
            </w:tcBorders>
            <w:shd w:val="clear" w:color="000000" w:fill="F2F2F2"/>
            <w:vAlign w:val="center"/>
            <w:hideMark/>
          </w:tcPr>
          <w:p w14:paraId="248DE727"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34,542,378,003.6</w:t>
            </w:r>
          </w:p>
        </w:tc>
        <w:tc>
          <w:tcPr>
            <w:tcW w:w="1749" w:type="dxa"/>
            <w:tcBorders>
              <w:top w:val="nil"/>
              <w:left w:val="nil"/>
              <w:bottom w:val="nil"/>
              <w:right w:val="nil"/>
            </w:tcBorders>
            <w:shd w:val="clear" w:color="000000" w:fill="F2F2F2"/>
            <w:vAlign w:val="center"/>
            <w:hideMark/>
          </w:tcPr>
          <w:p w14:paraId="72E989AC"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213,404,522.8</w:t>
            </w:r>
          </w:p>
        </w:tc>
      </w:tr>
      <w:tr w:rsidR="007D54FC" w:rsidRPr="007D54FC" w14:paraId="113C59FF" w14:textId="77777777" w:rsidTr="007D54FC">
        <w:trPr>
          <w:trHeight w:val="248"/>
          <w:jc w:val="center"/>
        </w:trPr>
        <w:tc>
          <w:tcPr>
            <w:tcW w:w="6544" w:type="dxa"/>
            <w:tcBorders>
              <w:top w:val="nil"/>
              <w:left w:val="nil"/>
              <w:bottom w:val="nil"/>
              <w:right w:val="nil"/>
            </w:tcBorders>
            <w:shd w:val="clear" w:color="000000" w:fill="F2F2F2"/>
            <w:vAlign w:val="center"/>
            <w:hideMark/>
          </w:tcPr>
          <w:p w14:paraId="13B295A8" w14:textId="77777777" w:rsidR="007D54FC" w:rsidRPr="007D54FC" w:rsidRDefault="007D54FC" w:rsidP="007D54FC">
            <w:pPr>
              <w:spacing w:after="0" w:line="240" w:lineRule="auto"/>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 xml:space="preserve">Bancos/ Tesorería </w:t>
            </w:r>
          </w:p>
        </w:tc>
        <w:tc>
          <w:tcPr>
            <w:tcW w:w="1769" w:type="dxa"/>
            <w:tcBorders>
              <w:top w:val="nil"/>
              <w:left w:val="nil"/>
              <w:bottom w:val="nil"/>
              <w:right w:val="nil"/>
            </w:tcBorders>
            <w:shd w:val="clear" w:color="000000" w:fill="F2F2F2"/>
            <w:vAlign w:val="center"/>
            <w:hideMark/>
          </w:tcPr>
          <w:p w14:paraId="45240853"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8,616,096,725.</w:t>
            </w:r>
            <w:r w:rsidR="00673A32">
              <w:rPr>
                <w:rFonts w:ascii="Montserrat" w:eastAsia="Times New Roman" w:hAnsi="Montserrat"/>
                <w:color w:val="000000"/>
                <w:sz w:val="15"/>
                <w:szCs w:val="15"/>
                <w:lang w:val="es-MX" w:eastAsia="es-MX"/>
              </w:rPr>
              <w:t>2</w:t>
            </w:r>
          </w:p>
        </w:tc>
        <w:tc>
          <w:tcPr>
            <w:tcW w:w="1749" w:type="dxa"/>
            <w:tcBorders>
              <w:top w:val="nil"/>
              <w:left w:val="nil"/>
              <w:bottom w:val="nil"/>
              <w:right w:val="nil"/>
            </w:tcBorders>
            <w:shd w:val="clear" w:color="000000" w:fill="F2F2F2"/>
            <w:vAlign w:val="center"/>
            <w:hideMark/>
          </w:tcPr>
          <w:p w14:paraId="12603E22"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7,899,813,828.0</w:t>
            </w:r>
          </w:p>
        </w:tc>
      </w:tr>
      <w:tr w:rsidR="007D54FC" w:rsidRPr="007D54FC" w14:paraId="4E7B1BFF" w14:textId="77777777" w:rsidTr="007D54FC">
        <w:trPr>
          <w:trHeight w:val="248"/>
          <w:jc w:val="center"/>
        </w:trPr>
        <w:tc>
          <w:tcPr>
            <w:tcW w:w="6544" w:type="dxa"/>
            <w:tcBorders>
              <w:top w:val="nil"/>
              <w:left w:val="nil"/>
              <w:bottom w:val="nil"/>
              <w:right w:val="nil"/>
            </w:tcBorders>
            <w:shd w:val="clear" w:color="000000" w:fill="F2F2F2"/>
            <w:vAlign w:val="center"/>
            <w:hideMark/>
          </w:tcPr>
          <w:p w14:paraId="53555597" w14:textId="77777777" w:rsidR="007D54FC" w:rsidRPr="007D54FC" w:rsidRDefault="007D54FC" w:rsidP="007D54FC">
            <w:pPr>
              <w:spacing w:after="0" w:line="240" w:lineRule="auto"/>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Efectivo</w:t>
            </w:r>
          </w:p>
        </w:tc>
        <w:tc>
          <w:tcPr>
            <w:tcW w:w="1769" w:type="dxa"/>
            <w:tcBorders>
              <w:top w:val="nil"/>
              <w:left w:val="nil"/>
              <w:bottom w:val="nil"/>
              <w:right w:val="nil"/>
            </w:tcBorders>
            <w:shd w:val="clear" w:color="000000" w:fill="F2F2F2"/>
            <w:vAlign w:val="center"/>
            <w:hideMark/>
          </w:tcPr>
          <w:p w14:paraId="0BC1666A"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35,850,648.6</w:t>
            </w:r>
          </w:p>
        </w:tc>
        <w:tc>
          <w:tcPr>
            <w:tcW w:w="1749" w:type="dxa"/>
            <w:tcBorders>
              <w:top w:val="nil"/>
              <w:left w:val="nil"/>
              <w:bottom w:val="nil"/>
              <w:right w:val="nil"/>
            </w:tcBorders>
            <w:shd w:val="clear" w:color="000000" w:fill="F2F2F2"/>
            <w:vAlign w:val="center"/>
            <w:hideMark/>
          </w:tcPr>
          <w:p w14:paraId="15829AD8" w14:textId="77777777" w:rsidR="007D54FC" w:rsidRPr="007D54FC" w:rsidRDefault="007D54FC" w:rsidP="007D54FC">
            <w:pPr>
              <w:spacing w:after="0" w:line="240" w:lineRule="auto"/>
              <w:jc w:val="right"/>
              <w:rPr>
                <w:rFonts w:ascii="Montserrat" w:eastAsia="Times New Roman" w:hAnsi="Montserrat"/>
                <w:color w:val="000000"/>
                <w:sz w:val="15"/>
                <w:szCs w:val="15"/>
                <w:lang w:val="es-MX" w:eastAsia="es-MX"/>
              </w:rPr>
            </w:pPr>
            <w:r w:rsidRPr="007D54FC">
              <w:rPr>
                <w:rFonts w:ascii="Montserrat" w:eastAsia="Times New Roman" w:hAnsi="Montserrat"/>
                <w:color w:val="000000"/>
                <w:sz w:val="15"/>
                <w:szCs w:val="15"/>
                <w:lang w:val="es-MX" w:eastAsia="es-MX"/>
              </w:rPr>
              <w:t>35,912,383.5</w:t>
            </w:r>
          </w:p>
        </w:tc>
      </w:tr>
      <w:tr w:rsidR="007D54FC" w:rsidRPr="007D54FC" w14:paraId="2846F2B8" w14:textId="77777777" w:rsidTr="007D54FC">
        <w:trPr>
          <w:trHeight w:val="260"/>
          <w:jc w:val="center"/>
        </w:trPr>
        <w:tc>
          <w:tcPr>
            <w:tcW w:w="6544" w:type="dxa"/>
            <w:tcBorders>
              <w:top w:val="nil"/>
              <w:left w:val="nil"/>
              <w:bottom w:val="single" w:sz="12" w:space="0" w:color="808080"/>
              <w:right w:val="nil"/>
            </w:tcBorders>
            <w:shd w:val="clear" w:color="000000" w:fill="F2F2F2"/>
            <w:vAlign w:val="center"/>
            <w:hideMark/>
          </w:tcPr>
          <w:p w14:paraId="63EDE312" w14:textId="77777777" w:rsidR="007D54FC" w:rsidRPr="007D54FC" w:rsidRDefault="007D54FC" w:rsidP="007D54FC">
            <w:pPr>
              <w:spacing w:after="0" w:line="240" w:lineRule="auto"/>
              <w:rPr>
                <w:rFonts w:ascii="Montserrat" w:eastAsia="Times New Roman" w:hAnsi="Montserrat"/>
                <w:b/>
                <w:bCs/>
                <w:color w:val="000000"/>
                <w:sz w:val="15"/>
                <w:szCs w:val="15"/>
                <w:lang w:val="es-MX" w:eastAsia="es-MX"/>
              </w:rPr>
            </w:pPr>
            <w:r w:rsidRPr="007D54FC">
              <w:rPr>
                <w:rFonts w:ascii="Montserrat" w:eastAsia="Times New Roman" w:hAnsi="Montserrat"/>
                <w:b/>
                <w:bCs/>
                <w:color w:val="000000"/>
                <w:sz w:val="15"/>
                <w:szCs w:val="15"/>
                <w:lang w:val="es-MX" w:eastAsia="es-MX"/>
              </w:rPr>
              <w:t>Total Efectivo y Equivalentes</w:t>
            </w:r>
          </w:p>
        </w:tc>
        <w:tc>
          <w:tcPr>
            <w:tcW w:w="1769" w:type="dxa"/>
            <w:tcBorders>
              <w:top w:val="nil"/>
              <w:left w:val="nil"/>
              <w:bottom w:val="single" w:sz="12" w:space="0" w:color="808080"/>
              <w:right w:val="nil"/>
            </w:tcBorders>
            <w:shd w:val="clear" w:color="000000" w:fill="F2F2F2"/>
            <w:vAlign w:val="center"/>
            <w:hideMark/>
          </w:tcPr>
          <w:p w14:paraId="382D16C9" w14:textId="77777777" w:rsidR="007D54FC" w:rsidRPr="007D54FC" w:rsidRDefault="007D54FC" w:rsidP="007D54FC">
            <w:pPr>
              <w:spacing w:after="0" w:line="240" w:lineRule="auto"/>
              <w:jc w:val="right"/>
              <w:rPr>
                <w:rFonts w:ascii="Montserrat" w:eastAsia="Times New Roman" w:hAnsi="Montserrat"/>
                <w:b/>
                <w:bCs/>
                <w:color w:val="000000"/>
                <w:sz w:val="15"/>
                <w:szCs w:val="15"/>
                <w:lang w:val="es-MX" w:eastAsia="es-MX"/>
              </w:rPr>
            </w:pPr>
            <w:r w:rsidRPr="007D54FC">
              <w:rPr>
                <w:rFonts w:ascii="Montserrat" w:eastAsia="Times New Roman" w:hAnsi="Montserrat"/>
                <w:b/>
                <w:bCs/>
                <w:color w:val="000000"/>
                <w:sz w:val="15"/>
                <w:szCs w:val="15"/>
                <w:lang w:val="es-MX" w:eastAsia="es-MX"/>
              </w:rPr>
              <w:t>117,215,987,029.</w:t>
            </w:r>
            <w:r w:rsidR="00673A32">
              <w:rPr>
                <w:rFonts w:ascii="Montserrat" w:eastAsia="Times New Roman" w:hAnsi="Montserrat"/>
                <w:b/>
                <w:bCs/>
                <w:color w:val="000000"/>
                <w:sz w:val="15"/>
                <w:szCs w:val="15"/>
                <w:lang w:val="es-MX" w:eastAsia="es-MX"/>
              </w:rPr>
              <w:t>9</w:t>
            </w:r>
          </w:p>
        </w:tc>
        <w:tc>
          <w:tcPr>
            <w:tcW w:w="1749" w:type="dxa"/>
            <w:tcBorders>
              <w:top w:val="nil"/>
              <w:left w:val="nil"/>
              <w:bottom w:val="single" w:sz="12" w:space="0" w:color="808080"/>
              <w:right w:val="nil"/>
            </w:tcBorders>
            <w:shd w:val="clear" w:color="000000" w:fill="F2F2F2"/>
            <w:vAlign w:val="center"/>
            <w:hideMark/>
          </w:tcPr>
          <w:p w14:paraId="34CFF06A" w14:textId="77777777" w:rsidR="007D54FC" w:rsidRPr="007D54FC" w:rsidRDefault="007D54FC" w:rsidP="007D54FC">
            <w:pPr>
              <w:spacing w:after="0" w:line="240" w:lineRule="auto"/>
              <w:jc w:val="right"/>
              <w:rPr>
                <w:rFonts w:ascii="Montserrat" w:eastAsia="Times New Roman" w:hAnsi="Montserrat"/>
                <w:b/>
                <w:bCs/>
                <w:color w:val="000000"/>
                <w:sz w:val="15"/>
                <w:szCs w:val="15"/>
                <w:lang w:val="es-MX" w:eastAsia="es-MX"/>
              </w:rPr>
            </w:pPr>
            <w:r w:rsidRPr="007D54FC">
              <w:rPr>
                <w:rFonts w:ascii="Montserrat" w:eastAsia="Times New Roman" w:hAnsi="Montserrat"/>
                <w:b/>
                <w:bCs/>
                <w:color w:val="000000"/>
                <w:sz w:val="15"/>
                <w:szCs w:val="15"/>
                <w:lang w:val="es-MX" w:eastAsia="es-MX"/>
              </w:rPr>
              <w:t>118,975,010,805.7</w:t>
            </w:r>
          </w:p>
        </w:tc>
      </w:tr>
    </w:tbl>
    <w:p w14:paraId="02C9FC77" w14:textId="77777777" w:rsidR="007D54FC" w:rsidRPr="007D54FC" w:rsidRDefault="007D54FC" w:rsidP="007D54FC">
      <w:pPr>
        <w:pStyle w:val="TEXTONORMAL"/>
      </w:pPr>
    </w:p>
    <w:p w14:paraId="19E70294" w14:textId="77777777" w:rsidR="009D5C48" w:rsidRDefault="009D5C48" w:rsidP="00AE7030">
      <w:pPr>
        <w:pStyle w:val="TEXTONORMAL"/>
        <w:spacing w:after="0"/>
      </w:pPr>
    </w:p>
    <w:p w14:paraId="4E5A94B9" w14:textId="77777777" w:rsidR="009D5C48" w:rsidRDefault="003C1CE7" w:rsidP="003F2A12">
      <w:pPr>
        <w:pStyle w:val="VIETAFLECHA"/>
        <w:numPr>
          <w:ilvl w:val="1"/>
          <w:numId w:val="50"/>
        </w:numPr>
        <w:ind w:left="357" w:hanging="357"/>
      </w:pPr>
      <w:r>
        <w:t xml:space="preserve">Al 30 de </w:t>
      </w:r>
      <w:r w:rsidR="00132778">
        <w:t>septiembre</w:t>
      </w:r>
      <w:r w:rsidR="009D5C48" w:rsidRPr="00C16E7C">
        <w:t xml:space="preserve"> de 202</w:t>
      </w:r>
      <w:r w:rsidR="00285072">
        <w:t>2</w:t>
      </w:r>
      <w:r w:rsidR="009D5C48" w:rsidRPr="00C16E7C">
        <w:t xml:space="preserve"> y</w:t>
      </w:r>
      <w:r w:rsidR="00281C0A">
        <w:t xml:space="preserve"> al 31 de diciembre de</w:t>
      </w:r>
      <w:r w:rsidR="009D5C48" w:rsidRPr="00C16E7C">
        <w:t xml:space="preserve"> 202</w:t>
      </w:r>
      <w:r w:rsidR="00285072">
        <w:t>1</w:t>
      </w:r>
      <w:r w:rsidR="009D5C48" w:rsidRPr="00C16E7C">
        <w:t>, la conciliación de los Flujos Netos de las Actividades de Operación y los saldos de Ahorro/ Desahorro se integra de la siguiente manera:</w:t>
      </w:r>
    </w:p>
    <w:p w14:paraId="04086D74" w14:textId="77777777" w:rsidR="00274C14" w:rsidRPr="00274C14" w:rsidRDefault="00274C14" w:rsidP="00274C14">
      <w:pPr>
        <w:pStyle w:val="TEXTONORMAL"/>
      </w:pPr>
    </w:p>
    <w:tbl>
      <w:tblPr>
        <w:tblW w:w="9438" w:type="dxa"/>
        <w:jc w:val="center"/>
        <w:tblCellMar>
          <w:left w:w="70" w:type="dxa"/>
          <w:right w:w="70" w:type="dxa"/>
        </w:tblCellMar>
        <w:tblLook w:val="04A0" w:firstRow="1" w:lastRow="0" w:firstColumn="1" w:lastColumn="0" w:noHBand="0" w:noVBand="1"/>
      </w:tblPr>
      <w:tblGrid>
        <w:gridCol w:w="5440"/>
        <w:gridCol w:w="2088"/>
        <w:gridCol w:w="1910"/>
      </w:tblGrid>
      <w:tr w:rsidR="009D5C48" w:rsidRPr="00CF1512" w14:paraId="175DFB77" w14:textId="77777777" w:rsidTr="009D5C48">
        <w:trPr>
          <w:trHeight w:val="317"/>
          <w:jc w:val="center"/>
        </w:trPr>
        <w:tc>
          <w:tcPr>
            <w:tcW w:w="544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25BB25D"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399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2D66E9B"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9D5C48" w:rsidRPr="00CF1512" w14:paraId="5ECAFD66" w14:textId="77777777" w:rsidTr="009D5C48">
        <w:trPr>
          <w:trHeight w:val="211"/>
          <w:jc w:val="center"/>
        </w:trPr>
        <w:tc>
          <w:tcPr>
            <w:tcW w:w="5440" w:type="dxa"/>
            <w:vMerge/>
            <w:tcBorders>
              <w:top w:val="single" w:sz="12" w:space="0" w:color="808080"/>
              <w:left w:val="single" w:sz="12" w:space="0" w:color="FFFFFF"/>
              <w:bottom w:val="double" w:sz="6" w:space="0" w:color="808080"/>
              <w:right w:val="single" w:sz="12" w:space="0" w:color="FFFFFF"/>
            </w:tcBorders>
            <w:vAlign w:val="center"/>
            <w:hideMark/>
          </w:tcPr>
          <w:p w14:paraId="0B84BED4"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p>
        </w:tc>
        <w:tc>
          <w:tcPr>
            <w:tcW w:w="2088" w:type="dxa"/>
            <w:tcBorders>
              <w:top w:val="nil"/>
              <w:left w:val="nil"/>
              <w:bottom w:val="double" w:sz="6" w:space="0" w:color="808080"/>
              <w:right w:val="single" w:sz="12" w:space="0" w:color="FFFFFF"/>
            </w:tcBorders>
            <w:shd w:val="clear" w:color="000000" w:fill="D4C19C"/>
            <w:vAlign w:val="center"/>
            <w:hideMark/>
          </w:tcPr>
          <w:p w14:paraId="7E998023"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2</w:t>
            </w:r>
          </w:p>
        </w:tc>
        <w:tc>
          <w:tcPr>
            <w:tcW w:w="1910" w:type="dxa"/>
            <w:tcBorders>
              <w:top w:val="nil"/>
              <w:left w:val="nil"/>
              <w:bottom w:val="double" w:sz="6" w:space="0" w:color="808080"/>
              <w:right w:val="single" w:sz="12" w:space="0" w:color="FFFFFF"/>
            </w:tcBorders>
            <w:shd w:val="clear" w:color="000000" w:fill="D4C19C"/>
            <w:vAlign w:val="center"/>
            <w:hideMark/>
          </w:tcPr>
          <w:p w14:paraId="61D5B699"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1</w:t>
            </w:r>
          </w:p>
        </w:tc>
      </w:tr>
      <w:tr w:rsidR="008510AB" w:rsidRPr="00CF1512" w14:paraId="72D545F2" w14:textId="77777777" w:rsidTr="009D5C48">
        <w:trPr>
          <w:trHeight w:val="410"/>
          <w:jc w:val="center"/>
        </w:trPr>
        <w:tc>
          <w:tcPr>
            <w:tcW w:w="5440" w:type="dxa"/>
            <w:tcBorders>
              <w:top w:val="nil"/>
              <w:left w:val="nil"/>
              <w:bottom w:val="nil"/>
              <w:right w:val="nil"/>
            </w:tcBorders>
            <w:shd w:val="clear" w:color="000000" w:fill="F2F2F2"/>
            <w:vAlign w:val="center"/>
            <w:hideMark/>
          </w:tcPr>
          <w:p w14:paraId="2C680886" w14:textId="77777777" w:rsidR="008510AB" w:rsidRPr="00B51314" w:rsidRDefault="008510AB" w:rsidP="008510AB">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Ahorro/Desahorro antes de rubros extraordinarios</w:t>
            </w:r>
          </w:p>
        </w:tc>
        <w:tc>
          <w:tcPr>
            <w:tcW w:w="2088" w:type="dxa"/>
            <w:tcBorders>
              <w:top w:val="nil"/>
              <w:left w:val="nil"/>
              <w:bottom w:val="nil"/>
              <w:right w:val="nil"/>
            </w:tcBorders>
            <w:shd w:val="clear" w:color="000000" w:fill="F2F2F2"/>
            <w:vAlign w:val="center"/>
            <w:hideMark/>
          </w:tcPr>
          <w:p w14:paraId="2E1BC7AF" w14:textId="77777777" w:rsidR="008510AB" w:rsidRDefault="008510AB" w:rsidP="008510AB">
            <w:pPr>
              <w:jc w:val="right"/>
              <w:rPr>
                <w:rFonts w:ascii="Montserrat" w:hAnsi="Montserrat"/>
                <w:b/>
                <w:bCs/>
                <w:color w:val="000000"/>
                <w:sz w:val="15"/>
                <w:szCs w:val="15"/>
              </w:rPr>
            </w:pPr>
            <w:r>
              <w:rPr>
                <w:rFonts w:ascii="Montserrat" w:hAnsi="Montserrat" w:cs="Calibri"/>
                <w:b/>
                <w:bCs/>
                <w:color w:val="000000"/>
                <w:sz w:val="15"/>
                <w:szCs w:val="15"/>
              </w:rPr>
              <w:t>31,892,174,089.8</w:t>
            </w:r>
          </w:p>
        </w:tc>
        <w:tc>
          <w:tcPr>
            <w:tcW w:w="1910" w:type="dxa"/>
            <w:tcBorders>
              <w:top w:val="nil"/>
              <w:left w:val="nil"/>
              <w:bottom w:val="nil"/>
              <w:right w:val="nil"/>
            </w:tcBorders>
            <w:shd w:val="clear" w:color="000000" w:fill="F2F2F2"/>
            <w:vAlign w:val="center"/>
            <w:hideMark/>
          </w:tcPr>
          <w:p w14:paraId="7AC85797" w14:textId="77777777" w:rsidR="008510AB" w:rsidRDefault="008510AB" w:rsidP="008510AB">
            <w:pPr>
              <w:jc w:val="right"/>
              <w:rPr>
                <w:rFonts w:ascii="Montserrat" w:hAnsi="Montserrat"/>
                <w:b/>
                <w:bCs/>
                <w:color w:val="000000"/>
                <w:sz w:val="15"/>
                <w:szCs w:val="15"/>
              </w:rPr>
            </w:pPr>
            <w:r>
              <w:rPr>
                <w:rFonts w:ascii="Montserrat" w:hAnsi="Montserrat"/>
                <w:b/>
                <w:bCs/>
                <w:color w:val="000000"/>
                <w:sz w:val="15"/>
                <w:szCs w:val="15"/>
              </w:rPr>
              <w:t xml:space="preserve">-    6,623,467,848.6 </w:t>
            </w:r>
          </w:p>
        </w:tc>
      </w:tr>
      <w:tr w:rsidR="008510AB" w:rsidRPr="00CF1512" w14:paraId="7979069D" w14:textId="77777777" w:rsidTr="009D5C48">
        <w:trPr>
          <w:trHeight w:val="192"/>
          <w:jc w:val="center"/>
        </w:trPr>
        <w:tc>
          <w:tcPr>
            <w:tcW w:w="5440" w:type="dxa"/>
            <w:tcBorders>
              <w:top w:val="nil"/>
              <w:left w:val="nil"/>
              <w:bottom w:val="nil"/>
              <w:right w:val="nil"/>
            </w:tcBorders>
            <w:shd w:val="clear" w:color="000000" w:fill="F2F2F2"/>
            <w:vAlign w:val="center"/>
            <w:hideMark/>
          </w:tcPr>
          <w:p w14:paraId="7AE94C1F" w14:textId="77777777" w:rsidR="008510AB" w:rsidRPr="00B51314" w:rsidRDefault="008510AB" w:rsidP="008510AB">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 xml:space="preserve">Movimientos de partidas que no afectan al efectivo </w:t>
            </w:r>
          </w:p>
        </w:tc>
        <w:tc>
          <w:tcPr>
            <w:tcW w:w="2088" w:type="dxa"/>
            <w:tcBorders>
              <w:top w:val="nil"/>
              <w:left w:val="nil"/>
              <w:bottom w:val="nil"/>
              <w:right w:val="nil"/>
            </w:tcBorders>
            <w:shd w:val="clear" w:color="000000" w:fill="F2F2F2"/>
            <w:vAlign w:val="center"/>
            <w:hideMark/>
          </w:tcPr>
          <w:p w14:paraId="631A412A" w14:textId="77777777" w:rsidR="008510AB" w:rsidRDefault="008510AB" w:rsidP="008510AB">
            <w:pPr>
              <w:jc w:val="right"/>
              <w:rPr>
                <w:rFonts w:ascii="Montserrat" w:hAnsi="Montserrat"/>
                <w:b/>
                <w:bCs/>
                <w:color w:val="000000"/>
                <w:sz w:val="15"/>
                <w:szCs w:val="15"/>
              </w:rPr>
            </w:pPr>
            <w:r>
              <w:rPr>
                <w:rFonts w:ascii="Montserrat" w:hAnsi="Montserrat" w:cs="Calibri"/>
                <w:b/>
                <w:bCs/>
                <w:color w:val="000000"/>
                <w:sz w:val="15"/>
                <w:szCs w:val="15"/>
              </w:rPr>
              <w:t>48,438,994,237.5</w:t>
            </w:r>
          </w:p>
        </w:tc>
        <w:tc>
          <w:tcPr>
            <w:tcW w:w="1910" w:type="dxa"/>
            <w:tcBorders>
              <w:top w:val="nil"/>
              <w:left w:val="nil"/>
              <w:bottom w:val="nil"/>
              <w:right w:val="nil"/>
            </w:tcBorders>
            <w:shd w:val="clear" w:color="000000" w:fill="F2F2F2"/>
            <w:vAlign w:val="center"/>
            <w:hideMark/>
          </w:tcPr>
          <w:p w14:paraId="0142C480" w14:textId="77777777" w:rsidR="008510AB" w:rsidRDefault="008510AB" w:rsidP="008510AB">
            <w:pPr>
              <w:jc w:val="right"/>
              <w:rPr>
                <w:rFonts w:ascii="Montserrat" w:hAnsi="Montserrat"/>
                <w:b/>
                <w:bCs/>
                <w:color w:val="000000"/>
                <w:sz w:val="15"/>
                <w:szCs w:val="15"/>
              </w:rPr>
            </w:pPr>
            <w:r>
              <w:rPr>
                <w:rFonts w:ascii="Montserrat" w:hAnsi="Montserrat"/>
                <w:b/>
                <w:bCs/>
                <w:color w:val="000000"/>
                <w:sz w:val="15"/>
                <w:szCs w:val="15"/>
              </w:rPr>
              <w:t xml:space="preserve">    14,024,873,960.6 </w:t>
            </w:r>
          </w:p>
        </w:tc>
      </w:tr>
      <w:tr w:rsidR="008510AB" w:rsidRPr="00CF1512" w14:paraId="261C7C36" w14:textId="77777777" w:rsidTr="00675A70">
        <w:trPr>
          <w:trHeight w:val="212"/>
          <w:jc w:val="center"/>
        </w:trPr>
        <w:tc>
          <w:tcPr>
            <w:tcW w:w="5440" w:type="dxa"/>
            <w:tcBorders>
              <w:top w:val="nil"/>
              <w:left w:val="nil"/>
              <w:bottom w:val="nil"/>
              <w:right w:val="nil"/>
            </w:tcBorders>
            <w:shd w:val="clear" w:color="000000" w:fill="F2F2F2"/>
            <w:vAlign w:val="center"/>
            <w:hideMark/>
          </w:tcPr>
          <w:p w14:paraId="32FFA402"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Provisiones</w:t>
            </w:r>
          </w:p>
        </w:tc>
        <w:tc>
          <w:tcPr>
            <w:tcW w:w="2088" w:type="dxa"/>
            <w:tcBorders>
              <w:top w:val="nil"/>
              <w:left w:val="nil"/>
              <w:bottom w:val="nil"/>
              <w:right w:val="nil"/>
            </w:tcBorders>
            <w:shd w:val="clear" w:color="000000" w:fill="F2F2F2"/>
            <w:vAlign w:val="center"/>
            <w:hideMark/>
          </w:tcPr>
          <w:p w14:paraId="1443A032"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7,543,086,327.2</w:t>
            </w:r>
          </w:p>
        </w:tc>
        <w:tc>
          <w:tcPr>
            <w:tcW w:w="1910" w:type="dxa"/>
            <w:tcBorders>
              <w:top w:val="nil"/>
              <w:left w:val="nil"/>
              <w:bottom w:val="nil"/>
              <w:right w:val="nil"/>
            </w:tcBorders>
            <w:shd w:val="clear" w:color="000000" w:fill="F2F2F2"/>
            <w:vAlign w:val="center"/>
            <w:hideMark/>
          </w:tcPr>
          <w:p w14:paraId="01654BE0"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25,200,107,526.3 </w:t>
            </w:r>
          </w:p>
        </w:tc>
      </w:tr>
      <w:tr w:rsidR="008510AB" w:rsidRPr="00CF1512" w14:paraId="0A0B5842" w14:textId="77777777" w:rsidTr="009D5C48">
        <w:trPr>
          <w:trHeight w:val="298"/>
          <w:jc w:val="center"/>
        </w:trPr>
        <w:tc>
          <w:tcPr>
            <w:tcW w:w="5440" w:type="dxa"/>
            <w:tcBorders>
              <w:top w:val="nil"/>
              <w:left w:val="nil"/>
              <w:bottom w:val="nil"/>
              <w:right w:val="nil"/>
            </w:tcBorders>
            <w:shd w:val="clear" w:color="000000" w:fill="F2F2F2"/>
            <w:vAlign w:val="center"/>
            <w:hideMark/>
          </w:tcPr>
          <w:p w14:paraId="2DD5E110"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Disminución de Inventarios</w:t>
            </w:r>
          </w:p>
        </w:tc>
        <w:tc>
          <w:tcPr>
            <w:tcW w:w="2088" w:type="dxa"/>
            <w:tcBorders>
              <w:top w:val="nil"/>
              <w:left w:val="nil"/>
              <w:bottom w:val="nil"/>
              <w:right w:val="nil"/>
            </w:tcBorders>
            <w:shd w:val="clear" w:color="000000" w:fill="F2F2F2"/>
            <w:vAlign w:val="center"/>
            <w:hideMark/>
          </w:tcPr>
          <w:p w14:paraId="0127DFB2"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12,547,439,855.8</w:t>
            </w:r>
          </w:p>
        </w:tc>
        <w:tc>
          <w:tcPr>
            <w:tcW w:w="1910" w:type="dxa"/>
            <w:tcBorders>
              <w:top w:val="nil"/>
              <w:left w:val="nil"/>
              <w:bottom w:val="nil"/>
              <w:right w:val="nil"/>
            </w:tcBorders>
            <w:shd w:val="clear" w:color="000000" w:fill="F2F2F2"/>
            <w:vAlign w:val="center"/>
            <w:hideMark/>
          </w:tcPr>
          <w:p w14:paraId="71BD6652"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20,134,727,131.6 </w:t>
            </w:r>
          </w:p>
        </w:tc>
      </w:tr>
      <w:tr w:rsidR="008510AB" w:rsidRPr="00CF1512" w14:paraId="04335FFC" w14:textId="77777777" w:rsidTr="009D5C48">
        <w:trPr>
          <w:trHeight w:val="247"/>
          <w:jc w:val="center"/>
        </w:trPr>
        <w:tc>
          <w:tcPr>
            <w:tcW w:w="5440" w:type="dxa"/>
            <w:tcBorders>
              <w:top w:val="nil"/>
              <w:left w:val="nil"/>
              <w:bottom w:val="nil"/>
              <w:right w:val="nil"/>
            </w:tcBorders>
            <w:shd w:val="clear" w:color="000000" w:fill="F2F2F2"/>
            <w:vAlign w:val="center"/>
            <w:hideMark/>
          </w:tcPr>
          <w:p w14:paraId="704597FE"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Estimaciones, Depreciaciones, Deterioros, Obsolescencia y Amortizaciones</w:t>
            </w:r>
          </w:p>
        </w:tc>
        <w:tc>
          <w:tcPr>
            <w:tcW w:w="2088" w:type="dxa"/>
            <w:tcBorders>
              <w:top w:val="nil"/>
              <w:left w:val="nil"/>
              <w:bottom w:val="nil"/>
              <w:right w:val="nil"/>
            </w:tcBorders>
            <w:shd w:val="clear" w:color="000000" w:fill="F2F2F2"/>
            <w:vAlign w:val="center"/>
            <w:hideMark/>
          </w:tcPr>
          <w:p w14:paraId="38E4D812"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12,501,130,651.6</w:t>
            </w:r>
          </w:p>
        </w:tc>
        <w:tc>
          <w:tcPr>
            <w:tcW w:w="1910" w:type="dxa"/>
            <w:tcBorders>
              <w:top w:val="nil"/>
              <w:left w:val="nil"/>
              <w:bottom w:val="nil"/>
              <w:right w:val="nil"/>
            </w:tcBorders>
            <w:shd w:val="clear" w:color="000000" w:fill="F2F2F2"/>
            <w:vAlign w:val="center"/>
            <w:hideMark/>
          </w:tcPr>
          <w:p w14:paraId="3E41FA7D"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18,542,852,385.4 </w:t>
            </w:r>
          </w:p>
        </w:tc>
      </w:tr>
      <w:tr w:rsidR="008510AB" w:rsidRPr="00CF1512" w14:paraId="41E4BF28" w14:textId="77777777" w:rsidTr="009D5C48">
        <w:trPr>
          <w:trHeight w:val="323"/>
          <w:jc w:val="center"/>
        </w:trPr>
        <w:tc>
          <w:tcPr>
            <w:tcW w:w="5440" w:type="dxa"/>
            <w:tcBorders>
              <w:top w:val="nil"/>
              <w:left w:val="nil"/>
              <w:bottom w:val="nil"/>
              <w:right w:val="nil"/>
            </w:tcBorders>
            <w:shd w:val="clear" w:color="000000" w:fill="F2F2F2"/>
            <w:vAlign w:val="center"/>
            <w:hideMark/>
          </w:tcPr>
          <w:p w14:paraId="41F60077"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2088" w:type="dxa"/>
            <w:tcBorders>
              <w:top w:val="nil"/>
              <w:left w:val="nil"/>
              <w:bottom w:val="nil"/>
              <w:right w:val="nil"/>
            </w:tcBorders>
            <w:shd w:val="clear" w:color="000000" w:fill="F2F2F2"/>
            <w:vAlign w:val="center"/>
            <w:hideMark/>
          </w:tcPr>
          <w:p w14:paraId="157CBEBC"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3,317,509,699.2</w:t>
            </w:r>
          </w:p>
        </w:tc>
        <w:tc>
          <w:tcPr>
            <w:tcW w:w="1910" w:type="dxa"/>
            <w:tcBorders>
              <w:top w:val="nil"/>
              <w:left w:val="nil"/>
              <w:bottom w:val="nil"/>
              <w:right w:val="nil"/>
            </w:tcBorders>
            <w:shd w:val="clear" w:color="000000" w:fill="F2F2F2"/>
            <w:vAlign w:val="center"/>
            <w:hideMark/>
          </w:tcPr>
          <w:p w14:paraId="6DADDC2E"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2,909,579,641.3 </w:t>
            </w:r>
          </w:p>
        </w:tc>
      </w:tr>
      <w:tr w:rsidR="008510AB" w:rsidRPr="00CF1512" w14:paraId="6228016E" w14:textId="77777777" w:rsidTr="00F55109">
        <w:trPr>
          <w:trHeight w:val="239"/>
          <w:jc w:val="center"/>
        </w:trPr>
        <w:tc>
          <w:tcPr>
            <w:tcW w:w="5440" w:type="dxa"/>
            <w:tcBorders>
              <w:top w:val="nil"/>
              <w:left w:val="nil"/>
              <w:bottom w:val="nil"/>
              <w:right w:val="nil"/>
            </w:tcBorders>
            <w:shd w:val="clear" w:color="000000" w:fill="F2F2F2"/>
            <w:vAlign w:val="center"/>
            <w:hideMark/>
          </w:tcPr>
          <w:p w14:paraId="7F86317A"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Pasivos Derivados de las Actividades de Operación</w:t>
            </w:r>
          </w:p>
        </w:tc>
        <w:tc>
          <w:tcPr>
            <w:tcW w:w="2088" w:type="dxa"/>
            <w:tcBorders>
              <w:top w:val="nil"/>
              <w:left w:val="nil"/>
              <w:bottom w:val="nil"/>
              <w:right w:val="nil"/>
            </w:tcBorders>
            <w:shd w:val="clear" w:color="000000" w:fill="F2F2F2"/>
            <w:vAlign w:val="center"/>
            <w:hideMark/>
          </w:tcPr>
          <w:p w14:paraId="5A250E41"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57,381,445,354.5</w:t>
            </w:r>
          </w:p>
        </w:tc>
        <w:tc>
          <w:tcPr>
            <w:tcW w:w="1910" w:type="dxa"/>
            <w:tcBorders>
              <w:top w:val="nil"/>
              <w:left w:val="nil"/>
              <w:bottom w:val="nil"/>
              <w:right w:val="nil"/>
            </w:tcBorders>
            <w:shd w:val="clear" w:color="000000" w:fill="F2F2F2"/>
            <w:vAlign w:val="center"/>
            <w:hideMark/>
          </w:tcPr>
          <w:p w14:paraId="5AA0B40B"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22,558,233,956.8 </w:t>
            </w:r>
          </w:p>
        </w:tc>
      </w:tr>
      <w:tr w:rsidR="008510AB" w:rsidRPr="00CF1512" w14:paraId="7F7CB929" w14:textId="77777777" w:rsidTr="00F55109">
        <w:trPr>
          <w:trHeight w:val="272"/>
          <w:jc w:val="center"/>
        </w:trPr>
        <w:tc>
          <w:tcPr>
            <w:tcW w:w="5440" w:type="dxa"/>
            <w:tcBorders>
              <w:top w:val="nil"/>
              <w:left w:val="nil"/>
              <w:bottom w:val="nil"/>
              <w:right w:val="nil"/>
            </w:tcBorders>
            <w:shd w:val="clear" w:color="000000" w:fill="F2F2F2"/>
            <w:vAlign w:val="center"/>
            <w:hideMark/>
          </w:tcPr>
          <w:p w14:paraId="33CBC755"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del Patrimonio Derivado de las Actividades de Operación</w:t>
            </w:r>
          </w:p>
        </w:tc>
        <w:tc>
          <w:tcPr>
            <w:tcW w:w="2088" w:type="dxa"/>
            <w:tcBorders>
              <w:top w:val="nil"/>
              <w:left w:val="nil"/>
              <w:bottom w:val="nil"/>
              <w:right w:val="nil"/>
            </w:tcBorders>
            <w:shd w:val="clear" w:color="000000" w:fill="F2F2F2"/>
            <w:vAlign w:val="center"/>
            <w:hideMark/>
          </w:tcPr>
          <w:p w14:paraId="2BAAD0B6"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120,252,864.8</w:t>
            </w:r>
          </w:p>
        </w:tc>
        <w:tc>
          <w:tcPr>
            <w:tcW w:w="1910" w:type="dxa"/>
            <w:tcBorders>
              <w:top w:val="nil"/>
              <w:left w:val="nil"/>
              <w:bottom w:val="nil"/>
              <w:right w:val="nil"/>
            </w:tcBorders>
            <w:shd w:val="clear" w:color="000000" w:fill="F2F2F2"/>
            <w:vAlign w:val="center"/>
            <w:hideMark/>
          </w:tcPr>
          <w:p w14:paraId="53159EDF"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                     190,521,711.1 </w:t>
            </w:r>
          </w:p>
        </w:tc>
      </w:tr>
      <w:tr w:rsidR="008510AB" w:rsidRPr="00CF1512" w14:paraId="766379FC" w14:textId="77777777" w:rsidTr="00F55109">
        <w:trPr>
          <w:trHeight w:val="81"/>
          <w:jc w:val="center"/>
        </w:trPr>
        <w:tc>
          <w:tcPr>
            <w:tcW w:w="5440" w:type="dxa"/>
            <w:tcBorders>
              <w:top w:val="nil"/>
              <w:left w:val="nil"/>
              <w:bottom w:val="nil"/>
              <w:right w:val="nil"/>
            </w:tcBorders>
            <w:shd w:val="clear" w:color="000000" w:fill="F2F2F2"/>
            <w:vAlign w:val="center"/>
            <w:hideMark/>
          </w:tcPr>
          <w:p w14:paraId="6ED8462A"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Activos Derivados de las Actividades de Operación</w:t>
            </w:r>
          </w:p>
        </w:tc>
        <w:tc>
          <w:tcPr>
            <w:tcW w:w="2088" w:type="dxa"/>
            <w:tcBorders>
              <w:top w:val="nil"/>
              <w:left w:val="nil"/>
              <w:bottom w:val="nil"/>
              <w:right w:val="nil"/>
            </w:tcBorders>
            <w:shd w:val="clear" w:color="000000" w:fill="F2F2F2"/>
            <w:vAlign w:val="center"/>
            <w:hideMark/>
          </w:tcPr>
          <w:p w14:paraId="7A08A53A"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-5,185,908,265.6</w:t>
            </w:r>
          </w:p>
        </w:tc>
        <w:tc>
          <w:tcPr>
            <w:tcW w:w="1910" w:type="dxa"/>
            <w:tcBorders>
              <w:top w:val="nil"/>
              <w:left w:val="nil"/>
              <w:bottom w:val="nil"/>
              <w:right w:val="nil"/>
            </w:tcBorders>
            <w:shd w:val="clear" w:color="000000" w:fill="F2F2F2"/>
            <w:vAlign w:val="center"/>
            <w:hideMark/>
          </w:tcPr>
          <w:p w14:paraId="38B79888"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-7,621,653,973.6 </w:t>
            </w:r>
          </w:p>
        </w:tc>
      </w:tr>
      <w:tr w:rsidR="008510AB" w:rsidRPr="00CF1512" w14:paraId="0ECF7558" w14:textId="77777777" w:rsidTr="009D5C48">
        <w:trPr>
          <w:trHeight w:val="441"/>
          <w:jc w:val="center"/>
        </w:trPr>
        <w:tc>
          <w:tcPr>
            <w:tcW w:w="5440" w:type="dxa"/>
            <w:tcBorders>
              <w:top w:val="nil"/>
              <w:left w:val="nil"/>
              <w:bottom w:val="nil"/>
              <w:right w:val="nil"/>
            </w:tcBorders>
            <w:shd w:val="clear" w:color="000000" w:fill="F2F2F2"/>
            <w:vAlign w:val="center"/>
            <w:hideMark/>
          </w:tcPr>
          <w:p w14:paraId="614BBDEB"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Ingresos Financieros y Otros Ingresos del Estado de Actividades que Impactan Flujo de Actividades de Inversión</w:t>
            </w:r>
          </w:p>
        </w:tc>
        <w:tc>
          <w:tcPr>
            <w:tcW w:w="2088" w:type="dxa"/>
            <w:tcBorders>
              <w:top w:val="nil"/>
              <w:left w:val="nil"/>
              <w:bottom w:val="nil"/>
              <w:right w:val="nil"/>
            </w:tcBorders>
            <w:shd w:val="clear" w:color="000000" w:fill="F2F2F2"/>
            <w:vAlign w:val="center"/>
            <w:hideMark/>
          </w:tcPr>
          <w:p w14:paraId="31C1C680"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-17,262,672,950.1</w:t>
            </w:r>
          </w:p>
        </w:tc>
        <w:tc>
          <w:tcPr>
            <w:tcW w:w="1910" w:type="dxa"/>
            <w:tcBorders>
              <w:top w:val="nil"/>
              <w:left w:val="nil"/>
              <w:bottom w:val="nil"/>
              <w:right w:val="nil"/>
            </w:tcBorders>
            <w:shd w:val="clear" w:color="000000" w:fill="F2F2F2"/>
            <w:vAlign w:val="center"/>
            <w:hideMark/>
          </w:tcPr>
          <w:p w14:paraId="71E8E614"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-32,524,613,363.8 </w:t>
            </w:r>
          </w:p>
        </w:tc>
      </w:tr>
      <w:tr w:rsidR="008510AB" w:rsidRPr="00CF1512" w14:paraId="11AF810E" w14:textId="77777777" w:rsidTr="00A84A1F">
        <w:trPr>
          <w:trHeight w:val="621"/>
          <w:jc w:val="center"/>
        </w:trPr>
        <w:tc>
          <w:tcPr>
            <w:tcW w:w="5440" w:type="dxa"/>
            <w:tcBorders>
              <w:top w:val="nil"/>
              <w:left w:val="nil"/>
              <w:bottom w:val="nil"/>
              <w:right w:val="nil"/>
            </w:tcBorders>
            <w:shd w:val="clear" w:color="000000" w:fill="F2F2F2"/>
            <w:vAlign w:val="center"/>
            <w:hideMark/>
          </w:tcPr>
          <w:p w14:paraId="47D56FFC" w14:textId="77777777" w:rsidR="008510AB" w:rsidRPr="00B51314" w:rsidRDefault="008510AB" w:rsidP="008510AB">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y Pérdidas Extraordinarias del Estado de Actividades que Impactan Flujo de Actividades de Operación</w:t>
            </w:r>
          </w:p>
        </w:tc>
        <w:tc>
          <w:tcPr>
            <w:tcW w:w="2088" w:type="dxa"/>
            <w:tcBorders>
              <w:top w:val="nil"/>
              <w:left w:val="nil"/>
              <w:bottom w:val="nil"/>
              <w:right w:val="nil"/>
            </w:tcBorders>
            <w:shd w:val="clear" w:color="000000" w:fill="F2F2F2"/>
            <w:vAlign w:val="center"/>
            <w:hideMark/>
          </w:tcPr>
          <w:p w14:paraId="6235E72B" w14:textId="77777777" w:rsidR="008510AB" w:rsidRDefault="008510AB" w:rsidP="008510AB">
            <w:pPr>
              <w:jc w:val="right"/>
              <w:rPr>
                <w:rFonts w:ascii="Montserrat" w:hAnsi="Montserrat"/>
                <w:color w:val="000000"/>
                <w:sz w:val="15"/>
                <w:szCs w:val="15"/>
              </w:rPr>
            </w:pPr>
            <w:r>
              <w:rPr>
                <w:rFonts w:ascii="Montserrat" w:hAnsi="Montserrat" w:cs="Calibri"/>
                <w:color w:val="000000"/>
                <w:sz w:val="15"/>
                <w:szCs w:val="15"/>
              </w:rPr>
              <w:t>-22,523,289,299.9</w:t>
            </w:r>
          </w:p>
        </w:tc>
        <w:tc>
          <w:tcPr>
            <w:tcW w:w="1910" w:type="dxa"/>
            <w:tcBorders>
              <w:top w:val="nil"/>
              <w:left w:val="nil"/>
              <w:bottom w:val="nil"/>
              <w:right w:val="nil"/>
            </w:tcBorders>
            <w:shd w:val="clear" w:color="000000" w:fill="F2F2F2"/>
            <w:vAlign w:val="center"/>
            <w:hideMark/>
          </w:tcPr>
          <w:p w14:paraId="48F2478B" w14:textId="77777777" w:rsidR="008510AB" w:rsidRDefault="008510AB" w:rsidP="008510AB">
            <w:pPr>
              <w:jc w:val="right"/>
              <w:rPr>
                <w:rFonts w:ascii="Montserrat" w:hAnsi="Montserrat"/>
                <w:color w:val="000000"/>
                <w:sz w:val="15"/>
                <w:szCs w:val="15"/>
              </w:rPr>
            </w:pPr>
            <w:r>
              <w:rPr>
                <w:rFonts w:ascii="Montserrat" w:hAnsi="Montserrat"/>
                <w:color w:val="000000"/>
                <w:sz w:val="15"/>
                <w:szCs w:val="15"/>
              </w:rPr>
              <w:t xml:space="preserve">-35,364,881,054.5 </w:t>
            </w:r>
          </w:p>
        </w:tc>
      </w:tr>
      <w:tr w:rsidR="008510AB" w:rsidRPr="00CF1512" w14:paraId="3ADE9EEA" w14:textId="77777777" w:rsidTr="006B29AE">
        <w:trPr>
          <w:trHeight w:val="276"/>
          <w:jc w:val="center"/>
        </w:trPr>
        <w:tc>
          <w:tcPr>
            <w:tcW w:w="5440" w:type="dxa"/>
            <w:tcBorders>
              <w:top w:val="nil"/>
              <w:left w:val="nil"/>
              <w:bottom w:val="single" w:sz="12" w:space="0" w:color="808080"/>
              <w:right w:val="nil"/>
            </w:tcBorders>
            <w:shd w:val="clear" w:color="000000" w:fill="F2F2F2"/>
            <w:hideMark/>
          </w:tcPr>
          <w:p w14:paraId="14F6BC99" w14:textId="77777777" w:rsidR="008510AB" w:rsidRPr="00B51314" w:rsidRDefault="008510AB" w:rsidP="008510AB">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Flujos de Efectivo Netos de las Actividades de Operación</w:t>
            </w:r>
          </w:p>
        </w:tc>
        <w:tc>
          <w:tcPr>
            <w:tcW w:w="2088" w:type="dxa"/>
            <w:tcBorders>
              <w:top w:val="nil"/>
              <w:left w:val="nil"/>
              <w:bottom w:val="single" w:sz="12" w:space="0" w:color="808080"/>
              <w:right w:val="nil"/>
            </w:tcBorders>
            <w:shd w:val="clear" w:color="000000" w:fill="F2F2F2"/>
            <w:vAlign w:val="center"/>
            <w:hideMark/>
          </w:tcPr>
          <w:p w14:paraId="58ADEA22" w14:textId="77777777" w:rsidR="008510AB" w:rsidRDefault="008510AB" w:rsidP="008510AB">
            <w:pPr>
              <w:jc w:val="right"/>
              <w:rPr>
                <w:rFonts w:ascii="Montserrat" w:hAnsi="Montserrat"/>
                <w:b/>
                <w:bCs/>
                <w:color w:val="000000"/>
                <w:sz w:val="15"/>
                <w:szCs w:val="15"/>
              </w:rPr>
            </w:pPr>
            <w:r>
              <w:rPr>
                <w:rFonts w:ascii="Montserrat" w:hAnsi="Montserrat" w:cs="Calibri"/>
                <w:b/>
                <w:bCs/>
                <w:color w:val="000000"/>
                <w:sz w:val="15"/>
                <w:szCs w:val="15"/>
              </w:rPr>
              <w:t>80,331,168,327.3</w:t>
            </w:r>
          </w:p>
        </w:tc>
        <w:tc>
          <w:tcPr>
            <w:tcW w:w="1910" w:type="dxa"/>
            <w:tcBorders>
              <w:top w:val="nil"/>
              <w:left w:val="nil"/>
              <w:bottom w:val="single" w:sz="12" w:space="0" w:color="808080"/>
              <w:right w:val="nil"/>
            </w:tcBorders>
            <w:shd w:val="clear" w:color="000000" w:fill="F2F2F2"/>
            <w:vAlign w:val="bottom"/>
            <w:hideMark/>
          </w:tcPr>
          <w:p w14:paraId="22FC0F2B" w14:textId="77777777" w:rsidR="008510AB" w:rsidRDefault="008510AB" w:rsidP="008510AB">
            <w:pPr>
              <w:jc w:val="right"/>
              <w:rPr>
                <w:rFonts w:ascii="Montserrat" w:hAnsi="Montserrat"/>
                <w:b/>
                <w:bCs/>
                <w:color w:val="000000"/>
                <w:sz w:val="15"/>
                <w:szCs w:val="15"/>
              </w:rPr>
            </w:pPr>
            <w:r>
              <w:rPr>
                <w:rFonts w:ascii="Montserrat" w:hAnsi="Montserrat"/>
                <w:b/>
                <w:bCs/>
                <w:color w:val="000000"/>
                <w:sz w:val="15"/>
                <w:szCs w:val="15"/>
              </w:rPr>
              <w:t>7,401,406,112.0</w:t>
            </w:r>
          </w:p>
        </w:tc>
      </w:tr>
    </w:tbl>
    <w:p w14:paraId="09835CFD" w14:textId="77777777" w:rsidR="009D5C48" w:rsidRDefault="009D5C48" w:rsidP="009D5C48">
      <w:pPr>
        <w:pStyle w:val="Prrafodelista"/>
        <w:spacing w:before="240" w:after="120" w:line="250" w:lineRule="exact"/>
        <w:ind w:left="0"/>
        <w:contextualSpacing w:val="0"/>
        <w:rPr>
          <w:rFonts w:ascii="Montserrat" w:hAnsi="Montserrat" w:cs="Arial"/>
          <w:b/>
          <w:caps/>
        </w:rPr>
      </w:pPr>
    </w:p>
    <w:p w14:paraId="0F93118E" w14:textId="5B356720" w:rsidR="009D5C48" w:rsidRDefault="009D5C48" w:rsidP="009D5C48">
      <w:pPr>
        <w:pStyle w:val="Prrafodelista"/>
        <w:spacing w:before="240" w:after="120" w:line="250" w:lineRule="exact"/>
        <w:ind w:left="0"/>
        <w:contextualSpacing w:val="0"/>
        <w:rPr>
          <w:rFonts w:ascii="Montserrat" w:hAnsi="Montserrat" w:cs="Arial"/>
          <w:b/>
          <w:caps/>
        </w:rPr>
      </w:pPr>
    </w:p>
    <w:p w14:paraId="2AC22A9E" w14:textId="75E9A9C4" w:rsidR="007829F8" w:rsidRDefault="007829F8" w:rsidP="009D5C48">
      <w:pPr>
        <w:pStyle w:val="Prrafodelista"/>
        <w:spacing w:before="240" w:after="120" w:line="250" w:lineRule="exact"/>
        <w:ind w:left="0"/>
        <w:contextualSpacing w:val="0"/>
        <w:rPr>
          <w:rFonts w:ascii="Montserrat" w:hAnsi="Montserrat" w:cs="Arial"/>
          <w:b/>
          <w:caps/>
        </w:rPr>
      </w:pPr>
    </w:p>
    <w:p w14:paraId="2022B127" w14:textId="77777777" w:rsidR="007829F8" w:rsidRDefault="007829F8" w:rsidP="009D5C48">
      <w:pPr>
        <w:pStyle w:val="Prrafodelista"/>
        <w:spacing w:before="240" w:after="120" w:line="250" w:lineRule="exact"/>
        <w:ind w:left="0"/>
        <w:contextualSpacing w:val="0"/>
        <w:rPr>
          <w:rFonts w:ascii="Montserrat" w:hAnsi="Montserrat" w:cs="Arial"/>
          <w:b/>
          <w:caps/>
        </w:rPr>
      </w:pPr>
    </w:p>
    <w:p w14:paraId="4B78E8A3" w14:textId="77777777" w:rsidR="004A5DE5" w:rsidRDefault="004A5DE5" w:rsidP="009D5C48">
      <w:pPr>
        <w:pStyle w:val="Prrafodelista"/>
        <w:spacing w:before="240" w:after="120" w:line="250" w:lineRule="exact"/>
        <w:ind w:left="0"/>
        <w:contextualSpacing w:val="0"/>
        <w:rPr>
          <w:rFonts w:ascii="Montserrat" w:hAnsi="Montserrat" w:cs="Arial"/>
          <w:b/>
          <w:caps/>
        </w:rPr>
      </w:pPr>
    </w:p>
    <w:p w14:paraId="788180BE" w14:textId="18A1CB88" w:rsidR="009D5C48" w:rsidRDefault="009D5C48" w:rsidP="003F2A12">
      <w:pPr>
        <w:pStyle w:val="Prrafodelista"/>
        <w:numPr>
          <w:ilvl w:val="0"/>
          <w:numId w:val="8"/>
        </w:numPr>
        <w:spacing w:before="240" w:after="120" w:line="250" w:lineRule="exact"/>
        <w:ind w:left="357" w:hanging="357"/>
        <w:contextualSpacing w:val="0"/>
        <w:jc w:val="both"/>
        <w:rPr>
          <w:rFonts w:ascii="Montserrat" w:hAnsi="Montserrat" w:cs="Arial"/>
          <w:b/>
          <w:caps/>
        </w:rPr>
      </w:pPr>
      <w:r w:rsidRPr="00550098">
        <w:rPr>
          <w:rFonts w:ascii="Montserrat" w:hAnsi="Montserrat" w:cs="Arial"/>
          <w:b/>
          <w:caps/>
        </w:rPr>
        <w:lastRenderedPageBreak/>
        <w:t xml:space="preserve">Conciliación entre los Ingresos Presupuestarios y Contables, así como entre los Egresos Presupuestarios y los Gastos </w:t>
      </w:r>
      <w:r w:rsidR="00A434B5">
        <w:rPr>
          <w:rFonts w:ascii="Montserrat" w:hAnsi="Montserrat" w:cs="Arial"/>
          <w:b/>
          <w:caps/>
        </w:rPr>
        <w:t>Contables</w:t>
      </w:r>
      <w:r w:rsidR="007829F8">
        <w:rPr>
          <w:rFonts w:ascii="Montserrat" w:hAnsi="Montserrat" w:cs="Arial"/>
          <w:b/>
          <w:caps/>
        </w:rPr>
        <w:t xml:space="preserve"> </w:t>
      </w:r>
      <w:r w:rsidR="00A434B5">
        <w:rPr>
          <w:rFonts w:ascii="Montserrat" w:hAnsi="Montserrat" w:cs="Arial"/>
          <w:b/>
          <w:caps/>
        </w:rPr>
        <w:t>a, Septiembre de 2022.</w:t>
      </w:r>
    </w:p>
    <w:tbl>
      <w:tblPr>
        <w:tblW w:w="10552" w:type="dxa"/>
        <w:jc w:val="center"/>
        <w:tblCellMar>
          <w:left w:w="70" w:type="dxa"/>
          <w:right w:w="70" w:type="dxa"/>
        </w:tblCellMar>
        <w:tblLook w:val="04A0" w:firstRow="1" w:lastRow="0" w:firstColumn="1" w:lastColumn="0" w:noHBand="0" w:noVBand="1"/>
      </w:tblPr>
      <w:tblGrid>
        <w:gridCol w:w="7901"/>
        <w:gridCol w:w="2651"/>
      </w:tblGrid>
      <w:tr w:rsidR="009D5C48" w:rsidRPr="00EA6C4E" w14:paraId="5886AC32" w14:textId="77777777" w:rsidTr="00A434B5">
        <w:trPr>
          <w:trHeight w:val="217"/>
          <w:jc w:val="center"/>
        </w:trPr>
        <w:tc>
          <w:tcPr>
            <w:tcW w:w="10551" w:type="dxa"/>
            <w:gridSpan w:val="2"/>
            <w:tcBorders>
              <w:top w:val="single" w:sz="8" w:space="0" w:color="auto"/>
              <w:left w:val="single" w:sz="12" w:space="0" w:color="FFFFFF"/>
              <w:bottom w:val="single" w:sz="8" w:space="0" w:color="FFFFFF"/>
              <w:right w:val="nil"/>
            </w:tcBorders>
            <w:shd w:val="clear" w:color="000000" w:fill="D4C19C"/>
            <w:vAlign w:val="center"/>
            <w:hideMark/>
          </w:tcPr>
          <w:p w14:paraId="1B34ED77"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Ingresos Presupuestarios y Contables </w:t>
            </w:r>
          </w:p>
        </w:tc>
      </w:tr>
      <w:tr w:rsidR="009D5C48" w:rsidRPr="00EA6C4E" w14:paraId="510EA886" w14:textId="77777777" w:rsidTr="00A434B5">
        <w:trPr>
          <w:trHeight w:val="208"/>
          <w:jc w:val="center"/>
        </w:trPr>
        <w:tc>
          <w:tcPr>
            <w:tcW w:w="7901" w:type="dxa"/>
            <w:tcBorders>
              <w:top w:val="nil"/>
              <w:left w:val="single" w:sz="12" w:space="0" w:color="FFFFFF"/>
              <w:bottom w:val="double" w:sz="6" w:space="0" w:color="808080"/>
              <w:right w:val="single" w:sz="12" w:space="0" w:color="FFFFFF"/>
            </w:tcBorders>
            <w:shd w:val="clear" w:color="000000" w:fill="D4C19C"/>
            <w:vAlign w:val="center"/>
            <w:hideMark/>
          </w:tcPr>
          <w:p w14:paraId="4188DC52"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2651" w:type="dxa"/>
            <w:tcBorders>
              <w:top w:val="nil"/>
              <w:left w:val="nil"/>
              <w:bottom w:val="double" w:sz="6" w:space="0" w:color="808080"/>
              <w:right w:val="single" w:sz="12" w:space="0" w:color="FFFFFF"/>
            </w:tcBorders>
            <w:shd w:val="clear" w:color="000000" w:fill="D4C19C"/>
            <w:vAlign w:val="center"/>
            <w:hideMark/>
          </w:tcPr>
          <w:p w14:paraId="3A790DAE"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BE69AE" w:rsidRPr="00EA6C4E" w14:paraId="42BDF88C" w14:textId="77777777" w:rsidTr="00A434B5">
        <w:trPr>
          <w:trHeight w:val="208"/>
          <w:jc w:val="center"/>
        </w:trPr>
        <w:tc>
          <w:tcPr>
            <w:tcW w:w="7901" w:type="dxa"/>
            <w:tcBorders>
              <w:top w:val="nil"/>
              <w:left w:val="nil"/>
              <w:bottom w:val="nil"/>
              <w:right w:val="nil"/>
            </w:tcBorders>
            <w:shd w:val="clear" w:color="000000" w:fill="F2F2F2"/>
            <w:vAlign w:val="center"/>
            <w:hideMark/>
          </w:tcPr>
          <w:p w14:paraId="3A63EE21" w14:textId="77777777" w:rsidR="00BE69AE" w:rsidRPr="00B51314" w:rsidRDefault="00BE69AE" w:rsidP="00BE69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Ingresos Presupuestarios</w:t>
            </w:r>
          </w:p>
        </w:tc>
        <w:tc>
          <w:tcPr>
            <w:tcW w:w="2651" w:type="dxa"/>
            <w:tcBorders>
              <w:top w:val="nil"/>
              <w:left w:val="nil"/>
              <w:bottom w:val="nil"/>
              <w:right w:val="nil"/>
            </w:tcBorders>
            <w:shd w:val="clear" w:color="000000" w:fill="F2F2F2"/>
            <w:vAlign w:val="center"/>
            <w:hideMark/>
          </w:tcPr>
          <w:p w14:paraId="26B32C7A" w14:textId="77777777" w:rsidR="00BE69AE" w:rsidRPr="00EA6C4E" w:rsidRDefault="00BE69AE" w:rsidP="00BE69AE">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823,450,031,172.0</w:t>
            </w:r>
          </w:p>
        </w:tc>
      </w:tr>
      <w:tr w:rsidR="00BE69AE" w:rsidRPr="00EA6C4E" w14:paraId="7B99949C" w14:textId="77777777" w:rsidTr="00A434B5">
        <w:trPr>
          <w:trHeight w:val="198"/>
          <w:jc w:val="center"/>
        </w:trPr>
        <w:tc>
          <w:tcPr>
            <w:tcW w:w="7901" w:type="dxa"/>
            <w:tcBorders>
              <w:top w:val="nil"/>
              <w:left w:val="nil"/>
              <w:bottom w:val="nil"/>
              <w:right w:val="nil"/>
            </w:tcBorders>
            <w:shd w:val="clear" w:color="000000" w:fill="F2F2F2"/>
            <w:vAlign w:val="center"/>
            <w:hideMark/>
          </w:tcPr>
          <w:p w14:paraId="0CF4DD7E" w14:textId="77777777" w:rsidR="00BE69AE" w:rsidRPr="00B51314" w:rsidRDefault="00BE69AE" w:rsidP="00BE69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Más Ingresos Contables No Presupuestarios</w:t>
            </w:r>
          </w:p>
        </w:tc>
        <w:tc>
          <w:tcPr>
            <w:tcW w:w="2651" w:type="dxa"/>
            <w:tcBorders>
              <w:top w:val="nil"/>
              <w:left w:val="nil"/>
              <w:bottom w:val="nil"/>
              <w:right w:val="nil"/>
            </w:tcBorders>
            <w:shd w:val="clear" w:color="000000" w:fill="F2F2F2"/>
            <w:vAlign w:val="center"/>
            <w:hideMark/>
          </w:tcPr>
          <w:p w14:paraId="28E1DAF4" w14:textId="77777777" w:rsidR="00BE69AE" w:rsidRPr="00EA6C4E" w:rsidRDefault="00BE69AE" w:rsidP="00BE69AE">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7,123,179,246.0</w:t>
            </w:r>
          </w:p>
        </w:tc>
      </w:tr>
      <w:tr w:rsidR="00BE69AE" w:rsidRPr="00EA6C4E" w14:paraId="25845C96" w14:textId="77777777" w:rsidTr="00A434B5">
        <w:trPr>
          <w:trHeight w:val="198"/>
          <w:jc w:val="center"/>
        </w:trPr>
        <w:tc>
          <w:tcPr>
            <w:tcW w:w="7901" w:type="dxa"/>
            <w:tcBorders>
              <w:top w:val="nil"/>
              <w:left w:val="nil"/>
              <w:bottom w:val="nil"/>
              <w:right w:val="nil"/>
            </w:tcBorders>
            <w:shd w:val="clear" w:color="000000" w:fill="F2F2F2"/>
            <w:vAlign w:val="center"/>
            <w:hideMark/>
          </w:tcPr>
          <w:p w14:paraId="4DE719EF"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Financieros</w:t>
            </w:r>
          </w:p>
        </w:tc>
        <w:tc>
          <w:tcPr>
            <w:tcW w:w="2651" w:type="dxa"/>
            <w:tcBorders>
              <w:top w:val="nil"/>
              <w:left w:val="nil"/>
              <w:bottom w:val="nil"/>
              <w:right w:val="nil"/>
            </w:tcBorders>
            <w:shd w:val="clear" w:color="000000" w:fill="F2F2F2"/>
            <w:vAlign w:val="center"/>
            <w:hideMark/>
          </w:tcPr>
          <w:p w14:paraId="35DACA01"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BE69AE" w:rsidRPr="00EA6C4E" w14:paraId="67FC4768" w14:textId="77777777" w:rsidTr="00A434B5">
        <w:trPr>
          <w:trHeight w:val="198"/>
          <w:jc w:val="center"/>
        </w:trPr>
        <w:tc>
          <w:tcPr>
            <w:tcW w:w="7901" w:type="dxa"/>
            <w:tcBorders>
              <w:top w:val="nil"/>
              <w:left w:val="nil"/>
              <w:bottom w:val="nil"/>
              <w:right w:val="nil"/>
            </w:tcBorders>
            <w:shd w:val="clear" w:color="000000" w:fill="F2F2F2"/>
            <w:vAlign w:val="center"/>
            <w:hideMark/>
          </w:tcPr>
          <w:p w14:paraId="61E0A043"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Incremento por Variación de Inventarios</w:t>
            </w:r>
          </w:p>
        </w:tc>
        <w:tc>
          <w:tcPr>
            <w:tcW w:w="2651" w:type="dxa"/>
            <w:tcBorders>
              <w:top w:val="nil"/>
              <w:left w:val="nil"/>
              <w:bottom w:val="nil"/>
              <w:right w:val="nil"/>
            </w:tcBorders>
            <w:shd w:val="clear" w:color="000000" w:fill="F2F2F2"/>
            <w:vAlign w:val="center"/>
            <w:hideMark/>
          </w:tcPr>
          <w:p w14:paraId="017105E8"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2,632,792,391.0</w:t>
            </w:r>
          </w:p>
        </w:tc>
      </w:tr>
      <w:tr w:rsidR="00BE69AE" w:rsidRPr="00EA6C4E" w14:paraId="4D325FF4" w14:textId="77777777" w:rsidTr="00A434B5">
        <w:trPr>
          <w:trHeight w:val="258"/>
          <w:jc w:val="center"/>
        </w:trPr>
        <w:tc>
          <w:tcPr>
            <w:tcW w:w="7901" w:type="dxa"/>
            <w:tcBorders>
              <w:top w:val="nil"/>
              <w:left w:val="nil"/>
              <w:bottom w:val="nil"/>
              <w:right w:val="nil"/>
            </w:tcBorders>
            <w:shd w:val="clear" w:color="000000" w:fill="F2F2F2"/>
            <w:vAlign w:val="center"/>
            <w:hideMark/>
          </w:tcPr>
          <w:p w14:paraId="544C4E7A"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Estimaciones por Pérdida o Deterioro u Obsolescencia</w:t>
            </w:r>
          </w:p>
        </w:tc>
        <w:tc>
          <w:tcPr>
            <w:tcW w:w="2651" w:type="dxa"/>
            <w:tcBorders>
              <w:top w:val="nil"/>
              <w:left w:val="nil"/>
              <w:bottom w:val="nil"/>
              <w:right w:val="nil"/>
            </w:tcBorders>
            <w:shd w:val="clear" w:color="000000" w:fill="F2F2F2"/>
            <w:vAlign w:val="center"/>
            <w:hideMark/>
          </w:tcPr>
          <w:p w14:paraId="0E6B80A1"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BE69AE" w:rsidRPr="00EA6C4E" w14:paraId="0208F7DF" w14:textId="77777777" w:rsidTr="00A434B5">
        <w:trPr>
          <w:trHeight w:val="198"/>
          <w:jc w:val="center"/>
        </w:trPr>
        <w:tc>
          <w:tcPr>
            <w:tcW w:w="7901" w:type="dxa"/>
            <w:tcBorders>
              <w:top w:val="nil"/>
              <w:left w:val="nil"/>
              <w:bottom w:val="nil"/>
              <w:right w:val="nil"/>
            </w:tcBorders>
            <w:shd w:val="clear" w:color="000000" w:fill="F2F2F2"/>
            <w:vAlign w:val="center"/>
            <w:hideMark/>
          </w:tcPr>
          <w:p w14:paraId="2097E7B6"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Provisiones</w:t>
            </w:r>
          </w:p>
        </w:tc>
        <w:tc>
          <w:tcPr>
            <w:tcW w:w="2651" w:type="dxa"/>
            <w:tcBorders>
              <w:top w:val="nil"/>
              <w:left w:val="nil"/>
              <w:bottom w:val="nil"/>
              <w:right w:val="nil"/>
            </w:tcBorders>
            <w:shd w:val="clear" w:color="000000" w:fill="F2F2F2"/>
            <w:vAlign w:val="center"/>
            <w:hideMark/>
          </w:tcPr>
          <w:p w14:paraId="7EA1034F"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6,427,045.0</w:t>
            </w:r>
          </w:p>
        </w:tc>
      </w:tr>
      <w:tr w:rsidR="00BE69AE" w:rsidRPr="00EA6C4E" w14:paraId="7A411B14" w14:textId="77777777" w:rsidTr="00A434B5">
        <w:trPr>
          <w:trHeight w:val="198"/>
          <w:jc w:val="center"/>
        </w:trPr>
        <w:tc>
          <w:tcPr>
            <w:tcW w:w="7901" w:type="dxa"/>
            <w:tcBorders>
              <w:top w:val="nil"/>
              <w:left w:val="nil"/>
              <w:bottom w:val="nil"/>
              <w:right w:val="nil"/>
            </w:tcBorders>
            <w:shd w:val="clear" w:color="000000" w:fill="F2F2F2"/>
            <w:vAlign w:val="center"/>
            <w:hideMark/>
          </w:tcPr>
          <w:p w14:paraId="2D19D764"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y Beneficios Varios</w:t>
            </w:r>
          </w:p>
        </w:tc>
        <w:tc>
          <w:tcPr>
            <w:tcW w:w="2651" w:type="dxa"/>
            <w:tcBorders>
              <w:top w:val="nil"/>
              <w:left w:val="nil"/>
              <w:bottom w:val="nil"/>
              <w:right w:val="nil"/>
            </w:tcBorders>
            <w:shd w:val="clear" w:color="000000" w:fill="F2F2F2"/>
            <w:vAlign w:val="center"/>
            <w:hideMark/>
          </w:tcPr>
          <w:p w14:paraId="5368E5B4"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4,253,503,939.0</w:t>
            </w:r>
          </w:p>
        </w:tc>
      </w:tr>
      <w:tr w:rsidR="00BE69AE" w:rsidRPr="00EA6C4E" w14:paraId="334FD678" w14:textId="77777777" w:rsidTr="00A434B5">
        <w:trPr>
          <w:trHeight w:val="198"/>
          <w:jc w:val="center"/>
        </w:trPr>
        <w:tc>
          <w:tcPr>
            <w:tcW w:w="7901" w:type="dxa"/>
            <w:tcBorders>
              <w:top w:val="nil"/>
              <w:left w:val="nil"/>
              <w:bottom w:val="nil"/>
              <w:right w:val="nil"/>
            </w:tcBorders>
            <w:shd w:val="clear" w:color="000000" w:fill="F2F2F2"/>
            <w:vAlign w:val="center"/>
            <w:hideMark/>
          </w:tcPr>
          <w:p w14:paraId="2EB8D5AA"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Contables No Presupuestarios</w:t>
            </w:r>
          </w:p>
        </w:tc>
        <w:tc>
          <w:tcPr>
            <w:tcW w:w="2651" w:type="dxa"/>
            <w:tcBorders>
              <w:top w:val="nil"/>
              <w:left w:val="nil"/>
              <w:bottom w:val="nil"/>
              <w:right w:val="nil"/>
            </w:tcBorders>
            <w:shd w:val="clear" w:color="000000" w:fill="F2F2F2"/>
            <w:vAlign w:val="center"/>
            <w:hideMark/>
          </w:tcPr>
          <w:p w14:paraId="03E996EE"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230,455,871.0</w:t>
            </w:r>
          </w:p>
        </w:tc>
      </w:tr>
      <w:tr w:rsidR="00BE69AE" w:rsidRPr="00EA6C4E" w14:paraId="509D287C" w14:textId="77777777" w:rsidTr="00A434B5">
        <w:trPr>
          <w:trHeight w:val="198"/>
          <w:jc w:val="center"/>
        </w:trPr>
        <w:tc>
          <w:tcPr>
            <w:tcW w:w="7901" w:type="dxa"/>
            <w:tcBorders>
              <w:top w:val="nil"/>
              <w:left w:val="nil"/>
              <w:bottom w:val="nil"/>
              <w:right w:val="nil"/>
            </w:tcBorders>
            <w:shd w:val="clear" w:color="000000" w:fill="F2F2F2"/>
            <w:vAlign w:val="center"/>
            <w:hideMark/>
          </w:tcPr>
          <w:p w14:paraId="18E3814E" w14:textId="77777777" w:rsidR="00BE69AE" w:rsidRPr="00B51314" w:rsidRDefault="00BE69AE" w:rsidP="00BE69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3.Menos Ingresos Presupuestarios No Contables</w:t>
            </w:r>
          </w:p>
        </w:tc>
        <w:tc>
          <w:tcPr>
            <w:tcW w:w="2651" w:type="dxa"/>
            <w:tcBorders>
              <w:top w:val="nil"/>
              <w:left w:val="nil"/>
              <w:bottom w:val="nil"/>
              <w:right w:val="nil"/>
            </w:tcBorders>
            <w:shd w:val="clear" w:color="000000" w:fill="F2F2F2"/>
            <w:vAlign w:val="center"/>
            <w:hideMark/>
          </w:tcPr>
          <w:p w14:paraId="6AE43A4A" w14:textId="77777777" w:rsidR="00BE69AE" w:rsidRPr="00EA6C4E" w:rsidRDefault="00BE69AE" w:rsidP="00BE69AE">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366,711,496,370.0</w:t>
            </w:r>
          </w:p>
        </w:tc>
      </w:tr>
      <w:tr w:rsidR="00BE69AE" w:rsidRPr="00EA6C4E" w14:paraId="6A5E214C" w14:textId="77777777" w:rsidTr="00A434B5">
        <w:trPr>
          <w:trHeight w:val="198"/>
          <w:jc w:val="center"/>
        </w:trPr>
        <w:tc>
          <w:tcPr>
            <w:tcW w:w="7901" w:type="dxa"/>
            <w:tcBorders>
              <w:top w:val="nil"/>
              <w:left w:val="nil"/>
              <w:bottom w:val="nil"/>
              <w:right w:val="nil"/>
            </w:tcBorders>
            <w:shd w:val="clear" w:color="000000" w:fill="F2F2F2"/>
            <w:vAlign w:val="center"/>
            <w:hideMark/>
          </w:tcPr>
          <w:p w14:paraId="382703C6"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Aprovechamiento Patrimoniales</w:t>
            </w:r>
          </w:p>
        </w:tc>
        <w:tc>
          <w:tcPr>
            <w:tcW w:w="2651" w:type="dxa"/>
            <w:tcBorders>
              <w:top w:val="nil"/>
              <w:left w:val="nil"/>
              <w:bottom w:val="nil"/>
              <w:right w:val="nil"/>
            </w:tcBorders>
            <w:shd w:val="clear" w:color="000000" w:fill="F2F2F2"/>
            <w:vAlign w:val="center"/>
            <w:hideMark/>
          </w:tcPr>
          <w:p w14:paraId="4BC89DE4"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BE69AE" w:rsidRPr="00EA6C4E" w14:paraId="0CBC2D11" w14:textId="77777777" w:rsidTr="00A434B5">
        <w:trPr>
          <w:trHeight w:val="198"/>
          <w:jc w:val="center"/>
        </w:trPr>
        <w:tc>
          <w:tcPr>
            <w:tcW w:w="7901" w:type="dxa"/>
            <w:tcBorders>
              <w:top w:val="nil"/>
              <w:left w:val="nil"/>
              <w:bottom w:val="nil"/>
              <w:right w:val="nil"/>
            </w:tcBorders>
            <w:shd w:val="clear" w:color="000000" w:fill="F2F2F2"/>
            <w:vAlign w:val="center"/>
            <w:hideMark/>
          </w:tcPr>
          <w:p w14:paraId="383048E9"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Derivados Financiamientos</w:t>
            </w:r>
          </w:p>
        </w:tc>
        <w:tc>
          <w:tcPr>
            <w:tcW w:w="2651" w:type="dxa"/>
            <w:tcBorders>
              <w:top w:val="nil"/>
              <w:left w:val="nil"/>
              <w:bottom w:val="nil"/>
              <w:right w:val="nil"/>
            </w:tcBorders>
            <w:shd w:val="clear" w:color="000000" w:fill="F2F2F2"/>
            <w:vAlign w:val="center"/>
            <w:hideMark/>
          </w:tcPr>
          <w:p w14:paraId="2F69E67E"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BE69AE" w:rsidRPr="00EA6C4E" w14:paraId="4F30F669" w14:textId="77777777" w:rsidTr="00A434B5">
        <w:trPr>
          <w:trHeight w:val="198"/>
          <w:jc w:val="center"/>
        </w:trPr>
        <w:tc>
          <w:tcPr>
            <w:tcW w:w="7901" w:type="dxa"/>
            <w:tcBorders>
              <w:top w:val="nil"/>
              <w:left w:val="nil"/>
              <w:bottom w:val="nil"/>
              <w:right w:val="nil"/>
            </w:tcBorders>
            <w:shd w:val="clear" w:color="000000" w:fill="F2F2F2"/>
            <w:vAlign w:val="center"/>
            <w:hideMark/>
          </w:tcPr>
          <w:p w14:paraId="2A19AEFB" w14:textId="77777777" w:rsidR="00BE69AE" w:rsidRPr="00B51314" w:rsidRDefault="00BE69AE" w:rsidP="00BE69AE">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Presupuestales No Contables</w:t>
            </w:r>
          </w:p>
        </w:tc>
        <w:tc>
          <w:tcPr>
            <w:tcW w:w="2651" w:type="dxa"/>
            <w:tcBorders>
              <w:top w:val="nil"/>
              <w:left w:val="nil"/>
              <w:bottom w:val="nil"/>
              <w:right w:val="nil"/>
            </w:tcBorders>
            <w:shd w:val="clear" w:color="000000" w:fill="F2F2F2"/>
            <w:vAlign w:val="center"/>
            <w:hideMark/>
          </w:tcPr>
          <w:p w14:paraId="365AA9CD" w14:textId="77777777" w:rsidR="00BE69AE" w:rsidRPr="00EA6C4E" w:rsidRDefault="00BE69AE" w:rsidP="00BE69AE">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366,711,496,370.0</w:t>
            </w:r>
          </w:p>
        </w:tc>
      </w:tr>
      <w:tr w:rsidR="00BE69AE" w:rsidRPr="00EA6C4E" w14:paraId="12B4CDBC" w14:textId="77777777" w:rsidTr="00A434B5">
        <w:trPr>
          <w:trHeight w:val="208"/>
          <w:jc w:val="center"/>
        </w:trPr>
        <w:tc>
          <w:tcPr>
            <w:tcW w:w="7901" w:type="dxa"/>
            <w:tcBorders>
              <w:top w:val="nil"/>
              <w:left w:val="nil"/>
              <w:bottom w:val="single" w:sz="12" w:space="0" w:color="808080"/>
              <w:right w:val="nil"/>
            </w:tcBorders>
            <w:shd w:val="clear" w:color="000000" w:fill="F2F2F2"/>
            <w:vAlign w:val="center"/>
            <w:hideMark/>
          </w:tcPr>
          <w:p w14:paraId="246A0B4A" w14:textId="77777777" w:rsidR="00BE69AE" w:rsidRPr="00B51314" w:rsidRDefault="00BE69AE" w:rsidP="00BE69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Ingresos Contables</w:t>
            </w:r>
          </w:p>
        </w:tc>
        <w:tc>
          <w:tcPr>
            <w:tcW w:w="2651" w:type="dxa"/>
            <w:tcBorders>
              <w:top w:val="nil"/>
              <w:left w:val="nil"/>
              <w:bottom w:val="single" w:sz="12" w:space="0" w:color="808080"/>
              <w:right w:val="nil"/>
            </w:tcBorders>
            <w:shd w:val="clear" w:color="000000" w:fill="F2F2F2"/>
            <w:vAlign w:val="center"/>
            <w:hideMark/>
          </w:tcPr>
          <w:p w14:paraId="133FD400" w14:textId="77777777" w:rsidR="00BE69AE" w:rsidRPr="00EA6C4E" w:rsidRDefault="00BE69AE" w:rsidP="00BE69AE">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463,861,714,048.0</w:t>
            </w:r>
          </w:p>
        </w:tc>
      </w:tr>
    </w:tbl>
    <w:p w14:paraId="3D454E95" w14:textId="77777777" w:rsidR="00482BCC" w:rsidRDefault="00482BCC" w:rsidP="009D5C48">
      <w:pPr>
        <w:spacing w:after="0" w:line="240" w:lineRule="exact"/>
        <w:rPr>
          <w:rFonts w:ascii="Montserrat" w:hAnsi="Montserrat"/>
          <w:b/>
          <w:color w:val="FFFFFF"/>
          <w:sz w:val="16"/>
          <w:szCs w:val="16"/>
        </w:rPr>
      </w:pPr>
    </w:p>
    <w:tbl>
      <w:tblPr>
        <w:tblW w:w="10508" w:type="dxa"/>
        <w:jc w:val="center"/>
        <w:tblCellMar>
          <w:left w:w="70" w:type="dxa"/>
          <w:right w:w="70" w:type="dxa"/>
        </w:tblCellMar>
        <w:tblLook w:val="04A0" w:firstRow="1" w:lastRow="0" w:firstColumn="1" w:lastColumn="0" w:noHBand="0" w:noVBand="1"/>
      </w:tblPr>
      <w:tblGrid>
        <w:gridCol w:w="7414"/>
        <w:gridCol w:w="3094"/>
      </w:tblGrid>
      <w:tr w:rsidR="009D5C48" w:rsidRPr="00702954" w14:paraId="28232D35" w14:textId="77777777" w:rsidTr="00A434B5">
        <w:trPr>
          <w:trHeight w:val="177"/>
          <w:jc w:val="center"/>
        </w:trPr>
        <w:tc>
          <w:tcPr>
            <w:tcW w:w="10508" w:type="dxa"/>
            <w:gridSpan w:val="2"/>
            <w:tcBorders>
              <w:top w:val="single" w:sz="8" w:space="0" w:color="auto"/>
              <w:left w:val="single" w:sz="12" w:space="0" w:color="FFFFFF"/>
              <w:bottom w:val="single" w:sz="8" w:space="0" w:color="FFFFFF"/>
              <w:right w:val="nil"/>
            </w:tcBorders>
            <w:shd w:val="clear" w:color="000000" w:fill="D4C19C"/>
            <w:vAlign w:val="center"/>
            <w:hideMark/>
          </w:tcPr>
          <w:p w14:paraId="26E48731"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Egresos Presupuestarios y los Gastos Contables </w:t>
            </w:r>
          </w:p>
        </w:tc>
      </w:tr>
      <w:tr w:rsidR="009D5C48" w:rsidRPr="00702954" w14:paraId="2A010109" w14:textId="77777777" w:rsidTr="00A434B5">
        <w:trPr>
          <w:trHeight w:val="177"/>
          <w:jc w:val="center"/>
        </w:trPr>
        <w:tc>
          <w:tcPr>
            <w:tcW w:w="7414" w:type="dxa"/>
            <w:tcBorders>
              <w:top w:val="nil"/>
              <w:left w:val="single" w:sz="12" w:space="0" w:color="FFFFFF"/>
              <w:bottom w:val="double" w:sz="6" w:space="0" w:color="808080"/>
              <w:right w:val="single" w:sz="12" w:space="0" w:color="FFFFFF"/>
            </w:tcBorders>
            <w:shd w:val="clear" w:color="000000" w:fill="D4C19C"/>
            <w:vAlign w:val="center"/>
            <w:hideMark/>
          </w:tcPr>
          <w:p w14:paraId="688A0BE4"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3094" w:type="dxa"/>
            <w:tcBorders>
              <w:top w:val="nil"/>
              <w:left w:val="nil"/>
              <w:bottom w:val="double" w:sz="6" w:space="0" w:color="808080"/>
              <w:right w:val="single" w:sz="12" w:space="0" w:color="FFFFFF"/>
            </w:tcBorders>
            <w:shd w:val="clear" w:color="000000" w:fill="D4C19C"/>
            <w:vAlign w:val="center"/>
            <w:hideMark/>
          </w:tcPr>
          <w:p w14:paraId="12F7082A"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5A6F98" w:rsidRPr="00702954" w14:paraId="5F0A9471" w14:textId="77777777" w:rsidTr="00A434B5">
        <w:trPr>
          <w:trHeight w:val="177"/>
          <w:jc w:val="center"/>
        </w:trPr>
        <w:tc>
          <w:tcPr>
            <w:tcW w:w="7414" w:type="dxa"/>
            <w:tcBorders>
              <w:top w:val="nil"/>
              <w:left w:val="nil"/>
              <w:bottom w:val="nil"/>
              <w:right w:val="nil"/>
            </w:tcBorders>
            <w:shd w:val="clear" w:color="000000" w:fill="F2F2F2"/>
            <w:vAlign w:val="center"/>
            <w:hideMark/>
          </w:tcPr>
          <w:p w14:paraId="03917E94" w14:textId="77777777" w:rsidR="005A6F98" w:rsidRPr="00B51314" w:rsidRDefault="005A6F98" w:rsidP="005A6F98">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Egresos Presupuestarios</w:t>
            </w:r>
          </w:p>
        </w:tc>
        <w:tc>
          <w:tcPr>
            <w:tcW w:w="3094" w:type="dxa"/>
            <w:tcBorders>
              <w:top w:val="nil"/>
              <w:left w:val="nil"/>
              <w:bottom w:val="nil"/>
              <w:right w:val="nil"/>
            </w:tcBorders>
            <w:shd w:val="clear" w:color="000000" w:fill="F2F2F2"/>
            <w:vAlign w:val="center"/>
            <w:hideMark/>
          </w:tcPr>
          <w:p w14:paraId="7FB1B21A" w14:textId="77777777" w:rsidR="005A6F98" w:rsidRPr="00246CD0" w:rsidRDefault="005A6F98" w:rsidP="005A6F9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727,458,126,057.0</w:t>
            </w:r>
          </w:p>
        </w:tc>
      </w:tr>
      <w:tr w:rsidR="005A6F98" w:rsidRPr="00702954" w14:paraId="60C830B5" w14:textId="77777777" w:rsidTr="00A434B5">
        <w:trPr>
          <w:trHeight w:val="169"/>
          <w:jc w:val="center"/>
        </w:trPr>
        <w:tc>
          <w:tcPr>
            <w:tcW w:w="7414" w:type="dxa"/>
            <w:tcBorders>
              <w:top w:val="nil"/>
              <w:left w:val="nil"/>
              <w:bottom w:val="nil"/>
              <w:right w:val="nil"/>
            </w:tcBorders>
            <w:shd w:val="clear" w:color="000000" w:fill="F2F2F2"/>
            <w:vAlign w:val="center"/>
            <w:hideMark/>
          </w:tcPr>
          <w:p w14:paraId="33ED9CC7" w14:textId="77777777" w:rsidR="005A6F98" w:rsidRPr="00B51314" w:rsidRDefault="005A6F98" w:rsidP="005A6F98">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Menos Egresos Presupuestarios No Contables</w:t>
            </w:r>
          </w:p>
        </w:tc>
        <w:tc>
          <w:tcPr>
            <w:tcW w:w="3094" w:type="dxa"/>
            <w:tcBorders>
              <w:top w:val="nil"/>
              <w:left w:val="nil"/>
              <w:bottom w:val="nil"/>
              <w:right w:val="nil"/>
            </w:tcBorders>
            <w:shd w:val="clear" w:color="000000" w:fill="F2F2F2"/>
            <w:vAlign w:val="center"/>
            <w:hideMark/>
          </w:tcPr>
          <w:p w14:paraId="3DA43D15" w14:textId="77777777" w:rsidR="005A6F98" w:rsidRPr="00246CD0" w:rsidRDefault="005A6F98" w:rsidP="005A6F9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331,397,752,633.0</w:t>
            </w:r>
          </w:p>
        </w:tc>
      </w:tr>
      <w:tr w:rsidR="005A6F98" w:rsidRPr="00702954" w14:paraId="7F663C52" w14:textId="77777777" w:rsidTr="00A434B5">
        <w:trPr>
          <w:trHeight w:val="169"/>
          <w:jc w:val="center"/>
        </w:trPr>
        <w:tc>
          <w:tcPr>
            <w:tcW w:w="7414" w:type="dxa"/>
            <w:tcBorders>
              <w:top w:val="nil"/>
              <w:left w:val="nil"/>
              <w:bottom w:val="nil"/>
              <w:right w:val="nil"/>
            </w:tcBorders>
            <w:shd w:val="clear" w:color="000000" w:fill="F2F2F2"/>
            <w:vAlign w:val="center"/>
            <w:hideMark/>
          </w:tcPr>
          <w:p w14:paraId="7B018709"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Materiales y Suministros</w:t>
            </w:r>
          </w:p>
        </w:tc>
        <w:tc>
          <w:tcPr>
            <w:tcW w:w="3094" w:type="dxa"/>
            <w:tcBorders>
              <w:top w:val="nil"/>
              <w:left w:val="nil"/>
              <w:bottom w:val="nil"/>
              <w:right w:val="nil"/>
            </w:tcBorders>
            <w:shd w:val="clear" w:color="000000" w:fill="F2F2F2"/>
            <w:vAlign w:val="center"/>
            <w:hideMark/>
          </w:tcPr>
          <w:p w14:paraId="04A66B12"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5A6F98" w:rsidRPr="00702954" w14:paraId="4CD51CE6" w14:textId="77777777" w:rsidTr="00A434B5">
        <w:trPr>
          <w:trHeight w:val="169"/>
          <w:jc w:val="center"/>
        </w:trPr>
        <w:tc>
          <w:tcPr>
            <w:tcW w:w="7414" w:type="dxa"/>
            <w:tcBorders>
              <w:top w:val="nil"/>
              <w:left w:val="nil"/>
              <w:bottom w:val="nil"/>
              <w:right w:val="nil"/>
            </w:tcBorders>
            <w:shd w:val="clear" w:color="000000" w:fill="F2F2F2"/>
            <w:vAlign w:val="center"/>
            <w:hideMark/>
          </w:tcPr>
          <w:p w14:paraId="10250B21"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de Administración</w:t>
            </w:r>
          </w:p>
        </w:tc>
        <w:tc>
          <w:tcPr>
            <w:tcW w:w="3094" w:type="dxa"/>
            <w:tcBorders>
              <w:top w:val="nil"/>
              <w:left w:val="nil"/>
              <w:bottom w:val="nil"/>
              <w:right w:val="nil"/>
            </w:tcBorders>
            <w:shd w:val="clear" w:color="000000" w:fill="F2F2F2"/>
            <w:vAlign w:val="center"/>
            <w:hideMark/>
          </w:tcPr>
          <w:p w14:paraId="7828B5D8"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68,010,116.0</w:t>
            </w:r>
          </w:p>
        </w:tc>
      </w:tr>
      <w:tr w:rsidR="005A6F98" w:rsidRPr="00702954" w14:paraId="645E763D" w14:textId="77777777" w:rsidTr="00A434B5">
        <w:trPr>
          <w:trHeight w:val="169"/>
          <w:jc w:val="center"/>
        </w:trPr>
        <w:tc>
          <w:tcPr>
            <w:tcW w:w="7414" w:type="dxa"/>
            <w:tcBorders>
              <w:top w:val="nil"/>
              <w:left w:val="nil"/>
              <w:bottom w:val="nil"/>
              <w:right w:val="nil"/>
            </w:tcBorders>
            <w:shd w:val="clear" w:color="000000" w:fill="F2F2F2"/>
            <w:vAlign w:val="center"/>
            <w:hideMark/>
          </w:tcPr>
          <w:p w14:paraId="26C28018"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Educacional y Recreativo</w:t>
            </w:r>
          </w:p>
        </w:tc>
        <w:tc>
          <w:tcPr>
            <w:tcW w:w="3094" w:type="dxa"/>
            <w:tcBorders>
              <w:top w:val="nil"/>
              <w:left w:val="nil"/>
              <w:bottom w:val="nil"/>
              <w:right w:val="nil"/>
            </w:tcBorders>
            <w:shd w:val="clear" w:color="000000" w:fill="F2F2F2"/>
            <w:vAlign w:val="center"/>
            <w:hideMark/>
          </w:tcPr>
          <w:p w14:paraId="0EB8D8B6"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405,646.0</w:t>
            </w:r>
          </w:p>
        </w:tc>
      </w:tr>
      <w:tr w:rsidR="005A6F98" w:rsidRPr="00702954" w14:paraId="2187A025" w14:textId="77777777" w:rsidTr="00A434B5">
        <w:trPr>
          <w:trHeight w:val="169"/>
          <w:jc w:val="center"/>
        </w:trPr>
        <w:tc>
          <w:tcPr>
            <w:tcW w:w="7414" w:type="dxa"/>
            <w:tcBorders>
              <w:top w:val="nil"/>
              <w:left w:val="nil"/>
              <w:bottom w:val="nil"/>
              <w:right w:val="nil"/>
            </w:tcBorders>
            <w:shd w:val="clear" w:color="000000" w:fill="F2F2F2"/>
            <w:vAlign w:val="center"/>
            <w:hideMark/>
          </w:tcPr>
          <w:p w14:paraId="16EADDE0"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Equipo e Instrumental Médico y de Laboratorio</w:t>
            </w:r>
          </w:p>
        </w:tc>
        <w:tc>
          <w:tcPr>
            <w:tcW w:w="3094" w:type="dxa"/>
            <w:tcBorders>
              <w:top w:val="nil"/>
              <w:left w:val="nil"/>
              <w:bottom w:val="nil"/>
              <w:right w:val="nil"/>
            </w:tcBorders>
            <w:shd w:val="clear" w:color="000000" w:fill="F2F2F2"/>
            <w:vAlign w:val="center"/>
            <w:hideMark/>
          </w:tcPr>
          <w:p w14:paraId="4B4E9A70"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272,162,971.0</w:t>
            </w:r>
          </w:p>
        </w:tc>
      </w:tr>
      <w:tr w:rsidR="005A6F98" w:rsidRPr="00702954" w14:paraId="285629AB" w14:textId="77777777" w:rsidTr="00A434B5">
        <w:trPr>
          <w:trHeight w:val="169"/>
          <w:jc w:val="center"/>
        </w:trPr>
        <w:tc>
          <w:tcPr>
            <w:tcW w:w="7414" w:type="dxa"/>
            <w:tcBorders>
              <w:top w:val="nil"/>
              <w:left w:val="nil"/>
              <w:bottom w:val="nil"/>
              <w:right w:val="nil"/>
            </w:tcBorders>
            <w:shd w:val="clear" w:color="000000" w:fill="F2F2F2"/>
            <w:vAlign w:val="center"/>
            <w:hideMark/>
          </w:tcPr>
          <w:p w14:paraId="6B175CAB"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Vehículos y Equipo de Transporte</w:t>
            </w:r>
          </w:p>
        </w:tc>
        <w:tc>
          <w:tcPr>
            <w:tcW w:w="3094" w:type="dxa"/>
            <w:tcBorders>
              <w:top w:val="nil"/>
              <w:left w:val="nil"/>
              <w:bottom w:val="nil"/>
              <w:right w:val="nil"/>
            </w:tcBorders>
            <w:shd w:val="clear" w:color="000000" w:fill="F2F2F2"/>
            <w:vAlign w:val="center"/>
            <w:hideMark/>
          </w:tcPr>
          <w:p w14:paraId="7A4AF2EB"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5A6F98" w:rsidRPr="00702954" w14:paraId="4CB7FB43" w14:textId="77777777" w:rsidTr="00A434B5">
        <w:trPr>
          <w:trHeight w:val="169"/>
          <w:jc w:val="center"/>
        </w:trPr>
        <w:tc>
          <w:tcPr>
            <w:tcW w:w="7414" w:type="dxa"/>
            <w:tcBorders>
              <w:top w:val="nil"/>
              <w:left w:val="nil"/>
              <w:bottom w:val="nil"/>
              <w:right w:val="nil"/>
            </w:tcBorders>
            <w:shd w:val="clear" w:color="000000" w:fill="F2F2F2"/>
            <w:vAlign w:val="center"/>
            <w:hideMark/>
          </w:tcPr>
          <w:p w14:paraId="0C89482F"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Maquinaria, Otros Equipos y Herramientas</w:t>
            </w:r>
          </w:p>
        </w:tc>
        <w:tc>
          <w:tcPr>
            <w:tcW w:w="3094" w:type="dxa"/>
            <w:tcBorders>
              <w:top w:val="nil"/>
              <w:left w:val="nil"/>
              <w:bottom w:val="nil"/>
              <w:right w:val="nil"/>
            </w:tcBorders>
            <w:shd w:val="clear" w:color="000000" w:fill="F2F2F2"/>
            <w:vAlign w:val="center"/>
            <w:hideMark/>
          </w:tcPr>
          <w:p w14:paraId="09A2FC5C"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270,808,924.0</w:t>
            </w:r>
          </w:p>
        </w:tc>
      </w:tr>
      <w:tr w:rsidR="005A6F98" w:rsidRPr="00702954" w14:paraId="620A1330" w14:textId="77777777" w:rsidTr="00A434B5">
        <w:trPr>
          <w:trHeight w:val="169"/>
          <w:jc w:val="center"/>
        </w:trPr>
        <w:tc>
          <w:tcPr>
            <w:tcW w:w="7414" w:type="dxa"/>
            <w:tcBorders>
              <w:top w:val="nil"/>
              <w:left w:val="nil"/>
              <w:bottom w:val="nil"/>
              <w:right w:val="nil"/>
            </w:tcBorders>
            <w:shd w:val="clear" w:color="000000" w:fill="F2F2F2"/>
            <w:vAlign w:val="center"/>
            <w:hideMark/>
          </w:tcPr>
          <w:p w14:paraId="492F08C3"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Bienes Inmuebles</w:t>
            </w:r>
          </w:p>
        </w:tc>
        <w:tc>
          <w:tcPr>
            <w:tcW w:w="3094" w:type="dxa"/>
            <w:tcBorders>
              <w:top w:val="nil"/>
              <w:left w:val="nil"/>
              <w:bottom w:val="nil"/>
              <w:right w:val="nil"/>
            </w:tcBorders>
            <w:shd w:val="clear" w:color="000000" w:fill="F2F2F2"/>
            <w:vAlign w:val="center"/>
            <w:hideMark/>
          </w:tcPr>
          <w:p w14:paraId="2C700F5C"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5A6F98" w:rsidRPr="00702954" w14:paraId="17C42A99" w14:textId="77777777" w:rsidTr="00A434B5">
        <w:trPr>
          <w:trHeight w:val="169"/>
          <w:jc w:val="center"/>
        </w:trPr>
        <w:tc>
          <w:tcPr>
            <w:tcW w:w="7414" w:type="dxa"/>
            <w:tcBorders>
              <w:top w:val="nil"/>
              <w:left w:val="nil"/>
              <w:bottom w:val="nil"/>
              <w:right w:val="nil"/>
            </w:tcBorders>
            <w:shd w:val="clear" w:color="000000" w:fill="F2F2F2"/>
            <w:vAlign w:val="center"/>
            <w:hideMark/>
          </w:tcPr>
          <w:p w14:paraId="378EFF51"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 xml:space="preserve">Obra Pública en Bienes Propios </w:t>
            </w:r>
          </w:p>
        </w:tc>
        <w:tc>
          <w:tcPr>
            <w:tcW w:w="3094" w:type="dxa"/>
            <w:tcBorders>
              <w:top w:val="nil"/>
              <w:left w:val="nil"/>
              <w:bottom w:val="nil"/>
              <w:right w:val="nil"/>
            </w:tcBorders>
            <w:shd w:val="clear" w:color="000000" w:fill="F2F2F2"/>
            <w:vAlign w:val="center"/>
            <w:hideMark/>
          </w:tcPr>
          <w:p w14:paraId="03E588F7"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266,920,098.0</w:t>
            </w:r>
          </w:p>
        </w:tc>
      </w:tr>
      <w:tr w:rsidR="005A6F98" w:rsidRPr="00702954" w14:paraId="2F61DE75" w14:textId="77777777" w:rsidTr="00A434B5">
        <w:trPr>
          <w:trHeight w:val="169"/>
          <w:jc w:val="center"/>
        </w:trPr>
        <w:tc>
          <w:tcPr>
            <w:tcW w:w="7414" w:type="dxa"/>
            <w:tcBorders>
              <w:top w:val="nil"/>
              <w:left w:val="nil"/>
              <w:bottom w:val="nil"/>
              <w:right w:val="nil"/>
            </w:tcBorders>
            <w:shd w:val="clear" w:color="000000" w:fill="F2F2F2"/>
            <w:vAlign w:val="center"/>
            <w:hideMark/>
          </w:tcPr>
          <w:p w14:paraId="5BA2F244"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Egresos Presupuestarios No Contables</w:t>
            </w:r>
          </w:p>
        </w:tc>
        <w:tc>
          <w:tcPr>
            <w:tcW w:w="3094" w:type="dxa"/>
            <w:tcBorders>
              <w:top w:val="nil"/>
              <w:left w:val="nil"/>
              <w:bottom w:val="nil"/>
              <w:right w:val="nil"/>
            </w:tcBorders>
            <w:shd w:val="clear" w:color="000000" w:fill="F2F2F2"/>
            <w:vAlign w:val="center"/>
            <w:hideMark/>
          </w:tcPr>
          <w:p w14:paraId="15350DDF"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330,519,444,878.0</w:t>
            </w:r>
          </w:p>
        </w:tc>
      </w:tr>
      <w:tr w:rsidR="005A6F98" w:rsidRPr="00702954" w14:paraId="5E303BE6" w14:textId="77777777" w:rsidTr="00A434B5">
        <w:trPr>
          <w:trHeight w:val="169"/>
          <w:jc w:val="center"/>
        </w:trPr>
        <w:tc>
          <w:tcPr>
            <w:tcW w:w="7414" w:type="dxa"/>
            <w:tcBorders>
              <w:top w:val="nil"/>
              <w:left w:val="nil"/>
              <w:bottom w:val="nil"/>
              <w:right w:val="nil"/>
            </w:tcBorders>
            <w:shd w:val="clear" w:color="000000" w:fill="F2F2F2"/>
            <w:vAlign w:val="center"/>
            <w:hideMark/>
          </w:tcPr>
          <w:p w14:paraId="589FFC0E" w14:textId="77777777" w:rsidR="005A6F98" w:rsidRPr="00B51314" w:rsidRDefault="005A6F98" w:rsidP="005A6F98">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 Más Gastos Contables No Presupuestarios</w:t>
            </w:r>
          </w:p>
        </w:tc>
        <w:tc>
          <w:tcPr>
            <w:tcW w:w="3094" w:type="dxa"/>
            <w:tcBorders>
              <w:top w:val="nil"/>
              <w:left w:val="nil"/>
              <w:bottom w:val="nil"/>
              <w:right w:val="nil"/>
            </w:tcBorders>
            <w:shd w:val="clear" w:color="000000" w:fill="F2F2F2"/>
            <w:vAlign w:val="center"/>
            <w:hideMark/>
          </w:tcPr>
          <w:p w14:paraId="0C957EDA" w14:textId="77777777" w:rsidR="005A6F98" w:rsidRPr="00246CD0" w:rsidRDefault="005A6F98" w:rsidP="005A6F9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35,909,166,534.0</w:t>
            </w:r>
          </w:p>
        </w:tc>
      </w:tr>
      <w:tr w:rsidR="005A6F98" w:rsidRPr="00702954" w14:paraId="11F171E5" w14:textId="77777777" w:rsidTr="00A434B5">
        <w:trPr>
          <w:trHeight w:val="169"/>
          <w:jc w:val="center"/>
        </w:trPr>
        <w:tc>
          <w:tcPr>
            <w:tcW w:w="7414" w:type="dxa"/>
            <w:tcBorders>
              <w:top w:val="nil"/>
              <w:left w:val="nil"/>
              <w:bottom w:val="nil"/>
              <w:right w:val="nil"/>
            </w:tcBorders>
            <w:shd w:val="clear" w:color="000000" w:fill="F2F2F2"/>
            <w:vAlign w:val="center"/>
            <w:hideMark/>
          </w:tcPr>
          <w:p w14:paraId="7B76C410"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Estimaciones, Depreciaciones, Deterioros, Obsolescencia y Amortizaciones</w:t>
            </w:r>
          </w:p>
        </w:tc>
        <w:tc>
          <w:tcPr>
            <w:tcW w:w="3094" w:type="dxa"/>
            <w:tcBorders>
              <w:top w:val="nil"/>
              <w:left w:val="nil"/>
              <w:bottom w:val="nil"/>
              <w:right w:val="nil"/>
            </w:tcBorders>
            <w:shd w:val="clear" w:color="000000" w:fill="F2F2F2"/>
            <w:vAlign w:val="center"/>
            <w:hideMark/>
          </w:tcPr>
          <w:p w14:paraId="164C8E07"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12,501,130,652.0</w:t>
            </w:r>
          </w:p>
        </w:tc>
      </w:tr>
      <w:tr w:rsidR="005A6F98" w:rsidRPr="00702954" w14:paraId="281B5D34" w14:textId="77777777" w:rsidTr="00A434B5">
        <w:trPr>
          <w:trHeight w:val="169"/>
          <w:jc w:val="center"/>
        </w:trPr>
        <w:tc>
          <w:tcPr>
            <w:tcW w:w="7414" w:type="dxa"/>
            <w:tcBorders>
              <w:top w:val="nil"/>
              <w:left w:val="nil"/>
              <w:bottom w:val="nil"/>
              <w:right w:val="nil"/>
            </w:tcBorders>
            <w:shd w:val="clear" w:color="000000" w:fill="F2F2F2"/>
            <w:vAlign w:val="center"/>
            <w:hideMark/>
          </w:tcPr>
          <w:p w14:paraId="76AB1F60"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Provisiones</w:t>
            </w:r>
          </w:p>
        </w:tc>
        <w:tc>
          <w:tcPr>
            <w:tcW w:w="3094" w:type="dxa"/>
            <w:tcBorders>
              <w:top w:val="nil"/>
              <w:left w:val="nil"/>
              <w:bottom w:val="nil"/>
              <w:right w:val="nil"/>
            </w:tcBorders>
            <w:shd w:val="clear" w:color="000000" w:fill="F2F2F2"/>
            <w:vAlign w:val="center"/>
            <w:hideMark/>
          </w:tcPr>
          <w:p w14:paraId="1DDFA721"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7,543,086,327.0</w:t>
            </w:r>
          </w:p>
        </w:tc>
      </w:tr>
      <w:tr w:rsidR="005A6F98" w:rsidRPr="00702954" w14:paraId="0C550866" w14:textId="77777777" w:rsidTr="00A434B5">
        <w:trPr>
          <w:trHeight w:val="169"/>
          <w:jc w:val="center"/>
        </w:trPr>
        <w:tc>
          <w:tcPr>
            <w:tcW w:w="7414" w:type="dxa"/>
            <w:tcBorders>
              <w:top w:val="nil"/>
              <w:left w:val="nil"/>
              <w:bottom w:val="nil"/>
              <w:right w:val="nil"/>
            </w:tcBorders>
            <w:shd w:val="clear" w:color="000000" w:fill="F2F2F2"/>
            <w:vAlign w:val="center"/>
            <w:hideMark/>
          </w:tcPr>
          <w:p w14:paraId="3CD360EB"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 Inventarios</w:t>
            </w:r>
          </w:p>
        </w:tc>
        <w:tc>
          <w:tcPr>
            <w:tcW w:w="3094" w:type="dxa"/>
            <w:tcBorders>
              <w:top w:val="nil"/>
              <w:left w:val="nil"/>
              <w:bottom w:val="nil"/>
              <w:right w:val="nil"/>
            </w:tcBorders>
            <w:shd w:val="clear" w:color="000000" w:fill="F2F2F2"/>
            <w:vAlign w:val="center"/>
            <w:hideMark/>
          </w:tcPr>
          <w:p w14:paraId="1439E6B9"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12,547,439,856.0</w:t>
            </w:r>
          </w:p>
        </w:tc>
      </w:tr>
      <w:tr w:rsidR="005A6F98" w:rsidRPr="00702954" w14:paraId="25792E20" w14:textId="77777777" w:rsidTr="00A434B5">
        <w:trPr>
          <w:trHeight w:val="169"/>
          <w:jc w:val="center"/>
        </w:trPr>
        <w:tc>
          <w:tcPr>
            <w:tcW w:w="7414" w:type="dxa"/>
            <w:tcBorders>
              <w:top w:val="nil"/>
              <w:left w:val="nil"/>
              <w:bottom w:val="nil"/>
              <w:right w:val="nil"/>
            </w:tcBorders>
            <w:shd w:val="clear" w:color="000000" w:fill="F2F2F2"/>
            <w:vAlign w:val="center"/>
            <w:hideMark/>
          </w:tcPr>
          <w:p w14:paraId="352FE595"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3094" w:type="dxa"/>
            <w:tcBorders>
              <w:top w:val="nil"/>
              <w:left w:val="nil"/>
              <w:bottom w:val="nil"/>
              <w:right w:val="nil"/>
            </w:tcBorders>
            <w:shd w:val="clear" w:color="000000" w:fill="F2F2F2"/>
            <w:vAlign w:val="center"/>
            <w:hideMark/>
          </w:tcPr>
          <w:p w14:paraId="09874545"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ko-KR"/>
              </w:rPr>
            </w:pPr>
            <w:r>
              <w:rPr>
                <w:rFonts w:ascii="Montserrat" w:hAnsi="Montserrat" w:cs="Calibri"/>
                <w:color w:val="000000"/>
                <w:sz w:val="15"/>
                <w:szCs w:val="15"/>
              </w:rPr>
              <w:t>3,317,509,699.0</w:t>
            </w:r>
          </w:p>
        </w:tc>
      </w:tr>
      <w:tr w:rsidR="005A6F98" w:rsidRPr="00702954" w14:paraId="188E0F9B" w14:textId="77777777" w:rsidTr="00A434B5">
        <w:trPr>
          <w:trHeight w:val="169"/>
          <w:jc w:val="center"/>
        </w:trPr>
        <w:tc>
          <w:tcPr>
            <w:tcW w:w="7414" w:type="dxa"/>
            <w:tcBorders>
              <w:top w:val="nil"/>
              <w:left w:val="nil"/>
              <w:bottom w:val="nil"/>
              <w:right w:val="nil"/>
            </w:tcBorders>
            <w:shd w:val="clear" w:color="000000" w:fill="F2F2F2"/>
            <w:vAlign w:val="center"/>
            <w:hideMark/>
          </w:tcPr>
          <w:p w14:paraId="34EB5519" w14:textId="77777777" w:rsidR="005A6F98" w:rsidRPr="00B51314" w:rsidRDefault="005A6F98" w:rsidP="005A6F98">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Contables No Presupuestarios</w:t>
            </w:r>
          </w:p>
        </w:tc>
        <w:tc>
          <w:tcPr>
            <w:tcW w:w="3094" w:type="dxa"/>
            <w:tcBorders>
              <w:top w:val="nil"/>
              <w:left w:val="nil"/>
              <w:bottom w:val="nil"/>
              <w:right w:val="nil"/>
            </w:tcBorders>
            <w:shd w:val="clear" w:color="000000" w:fill="F2F2F2"/>
            <w:vAlign w:val="center"/>
            <w:hideMark/>
          </w:tcPr>
          <w:p w14:paraId="432C60E5" w14:textId="77777777" w:rsidR="005A6F98" w:rsidRPr="00246CD0" w:rsidRDefault="005A6F98" w:rsidP="005A6F9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5A6F98" w:rsidRPr="00702954" w14:paraId="0A58CF21" w14:textId="77777777" w:rsidTr="00A434B5">
        <w:trPr>
          <w:trHeight w:val="177"/>
          <w:jc w:val="center"/>
        </w:trPr>
        <w:tc>
          <w:tcPr>
            <w:tcW w:w="7414" w:type="dxa"/>
            <w:tcBorders>
              <w:top w:val="nil"/>
              <w:left w:val="nil"/>
              <w:bottom w:val="single" w:sz="12" w:space="0" w:color="808080"/>
              <w:right w:val="nil"/>
            </w:tcBorders>
            <w:shd w:val="clear" w:color="000000" w:fill="F2F2F2"/>
            <w:vAlign w:val="center"/>
            <w:hideMark/>
          </w:tcPr>
          <w:p w14:paraId="1CF95BB1" w14:textId="77777777" w:rsidR="005A6F98" w:rsidRPr="00B51314" w:rsidRDefault="005A6F98" w:rsidP="005A6F98">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Gastos Contables</w:t>
            </w:r>
          </w:p>
        </w:tc>
        <w:tc>
          <w:tcPr>
            <w:tcW w:w="3094" w:type="dxa"/>
            <w:tcBorders>
              <w:top w:val="nil"/>
              <w:left w:val="nil"/>
              <w:bottom w:val="single" w:sz="12" w:space="0" w:color="808080"/>
              <w:right w:val="nil"/>
            </w:tcBorders>
            <w:shd w:val="clear" w:color="000000" w:fill="F2F2F2"/>
            <w:vAlign w:val="center"/>
            <w:hideMark/>
          </w:tcPr>
          <w:p w14:paraId="253F597D" w14:textId="77777777" w:rsidR="005A6F98" w:rsidRPr="00246CD0" w:rsidRDefault="005A6F98" w:rsidP="005A6F9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431,969,539,958.0</w:t>
            </w:r>
          </w:p>
        </w:tc>
      </w:tr>
    </w:tbl>
    <w:p w14:paraId="2A95A75C" w14:textId="2345440E" w:rsidR="00DE4279" w:rsidRDefault="00A434B5" w:rsidP="00DE4279">
      <w:pPr>
        <w:pStyle w:val="Prrafodelista"/>
        <w:spacing w:before="240" w:after="120" w:line="250" w:lineRule="exact"/>
        <w:ind w:left="0"/>
        <w:contextualSpacing w:val="0"/>
        <w:rPr>
          <w:rFonts w:ascii="Montserrat" w:hAnsi="Montserrat" w:cs="Arial"/>
          <w:b/>
          <w:caps/>
        </w:rPr>
      </w:pPr>
      <w:r w:rsidRPr="002626DB">
        <w:rPr>
          <w:rFonts w:ascii="Montserrat" w:hAnsi="Montserrat" w:cs="Arial"/>
          <w:b/>
          <w:caps/>
        </w:rPr>
        <w:lastRenderedPageBreak/>
        <w:t xml:space="preserve">Notas de </w:t>
      </w:r>
      <w:r>
        <w:rPr>
          <w:rFonts w:ascii="Montserrat" w:hAnsi="Montserrat" w:cs="Arial"/>
          <w:b/>
          <w:caps/>
        </w:rPr>
        <w:t>MEMORIA</w:t>
      </w:r>
    </w:p>
    <w:p w14:paraId="15F8966E" w14:textId="059E725A" w:rsidR="00DE4279" w:rsidRPr="00DE4279" w:rsidRDefault="00DE4279" w:rsidP="00DE4279">
      <w:pPr>
        <w:pStyle w:val="SUBTITULO2"/>
        <w:numPr>
          <w:ilvl w:val="0"/>
          <w:numId w:val="89"/>
        </w:numPr>
        <w:spacing w:before="0"/>
        <w:ind w:left="357" w:hanging="357"/>
      </w:pPr>
      <w:r>
        <w:t>Cuentas de Orden Contables</w:t>
      </w:r>
    </w:p>
    <w:p w14:paraId="092882B8" w14:textId="0014CB48" w:rsidR="00DE4279" w:rsidRPr="00DE4279" w:rsidRDefault="00DE4279" w:rsidP="00DE4279">
      <w:pPr>
        <w:pStyle w:val="TEXTONORMAL"/>
        <w:rPr>
          <w:lang w:val="es-MX"/>
        </w:rPr>
      </w:pPr>
      <w:r>
        <w:rPr>
          <w:lang w:val="es-MX"/>
        </w:rPr>
        <w:t xml:space="preserve">Al </w:t>
      </w:r>
      <w:r w:rsidR="00904BA0">
        <w:rPr>
          <w:lang w:val="es-MX"/>
        </w:rPr>
        <w:t xml:space="preserve">30 </w:t>
      </w:r>
      <w:r>
        <w:rPr>
          <w:lang w:val="es-MX"/>
        </w:rPr>
        <w:t xml:space="preserve">de </w:t>
      </w:r>
      <w:r w:rsidR="00904BA0">
        <w:rPr>
          <w:lang w:val="es-MX"/>
        </w:rPr>
        <w:t>septiembre de 2022</w:t>
      </w:r>
      <w:r>
        <w:rPr>
          <w:lang w:val="es-MX"/>
        </w:rPr>
        <w:t>, las cuentas de orden contables son las siguientes:</w:t>
      </w:r>
    </w:p>
    <w:p w14:paraId="33F56CEF" w14:textId="368D2016" w:rsidR="005A5CB7" w:rsidRDefault="005A5CB7" w:rsidP="005A5CB7">
      <w:pPr>
        <w:pStyle w:val="TEXTONORMAL"/>
        <w:numPr>
          <w:ilvl w:val="0"/>
          <w:numId w:val="91"/>
        </w:numPr>
        <w:rPr>
          <w:lang w:val="es-MX"/>
        </w:rPr>
      </w:pPr>
      <w:r w:rsidRPr="005A5CB7">
        <w:rPr>
          <w:lang w:val="es-MX"/>
        </w:rPr>
        <w:t>Bienes Inalienables e Imprescriptibles (monumentos arqueológicos, artísticos e históricos).</w:t>
      </w:r>
    </w:p>
    <w:p w14:paraId="5F14BCC3" w14:textId="77777777" w:rsidR="00DE4279" w:rsidRPr="00DE4279" w:rsidRDefault="00DE4279" w:rsidP="00DE4279">
      <w:pPr>
        <w:pStyle w:val="TEXTONORMAL"/>
        <w:ind w:left="720"/>
        <w:rPr>
          <w:lang w:val="es-MX"/>
        </w:rPr>
      </w:pPr>
    </w:p>
    <w:tbl>
      <w:tblPr>
        <w:tblpPr w:leftFromText="141" w:rightFromText="141" w:vertAnchor="text" w:tblpXSpec="center" w:tblpY="-43"/>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61"/>
        <w:gridCol w:w="2126"/>
      </w:tblGrid>
      <w:tr w:rsidR="005A5CB7" w:rsidRPr="00C82DA7" w14:paraId="08BE9480" w14:textId="77777777" w:rsidTr="005A5CB7">
        <w:trPr>
          <w:trHeight w:val="251"/>
        </w:trPr>
        <w:tc>
          <w:tcPr>
            <w:tcW w:w="436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tcPr>
          <w:p w14:paraId="5A02DC7B" w14:textId="77777777" w:rsidR="005A5CB7" w:rsidRPr="001A3447" w:rsidRDefault="005A5CB7" w:rsidP="00AD6257">
            <w:pPr>
              <w:spacing w:after="0" w:line="240" w:lineRule="exact"/>
              <w:jc w:val="center"/>
              <w:rPr>
                <w:rFonts w:ascii="Montserrat" w:hAnsi="Montserrat"/>
                <w:b/>
                <w:color w:val="FFFFFF"/>
                <w:sz w:val="16"/>
                <w:szCs w:val="16"/>
              </w:rPr>
            </w:pPr>
            <w:r w:rsidRPr="001A3447">
              <w:rPr>
                <w:rFonts w:ascii="Montserrat" w:hAnsi="Montserrat"/>
                <w:b/>
                <w:color w:val="FFFFFF"/>
                <w:sz w:val="16"/>
                <w:szCs w:val="16"/>
              </w:rPr>
              <w:t>Concepto</w:t>
            </w:r>
          </w:p>
        </w:tc>
        <w:tc>
          <w:tcPr>
            <w:tcW w:w="2126" w:type="dxa"/>
            <w:tcBorders>
              <w:top w:val="single" w:sz="12" w:space="0" w:color="808080"/>
              <w:left w:val="single" w:sz="12" w:space="0" w:color="FFFFFF"/>
              <w:bottom w:val="single" w:sz="12" w:space="0" w:color="FFFFFF"/>
              <w:right w:val="single" w:sz="12" w:space="0" w:color="FFFFFF"/>
            </w:tcBorders>
            <w:shd w:val="clear" w:color="auto" w:fill="D4C19C"/>
            <w:vAlign w:val="center"/>
          </w:tcPr>
          <w:p w14:paraId="3AD14130" w14:textId="77777777" w:rsidR="005A5CB7" w:rsidRPr="001A3447" w:rsidRDefault="005A5CB7" w:rsidP="00AD6257">
            <w:pPr>
              <w:spacing w:after="0" w:line="240" w:lineRule="exact"/>
              <w:jc w:val="center"/>
              <w:rPr>
                <w:rFonts w:ascii="Montserrat" w:hAnsi="Montserrat"/>
                <w:b/>
                <w:color w:val="FFFFFF"/>
                <w:sz w:val="16"/>
                <w:szCs w:val="16"/>
              </w:rPr>
            </w:pPr>
            <w:r w:rsidRPr="001A3447">
              <w:rPr>
                <w:rFonts w:ascii="Montserrat" w:hAnsi="Montserrat"/>
                <w:b/>
                <w:color w:val="FFFFFF"/>
                <w:sz w:val="16"/>
                <w:szCs w:val="16"/>
              </w:rPr>
              <w:t>Cifras en pesos</w:t>
            </w:r>
          </w:p>
        </w:tc>
      </w:tr>
      <w:tr w:rsidR="005A5CB7" w:rsidRPr="00C82DA7" w14:paraId="7832283F" w14:textId="77777777" w:rsidTr="005A5CB7">
        <w:trPr>
          <w:trHeight w:val="147"/>
        </w:trPr>
        <w:tc>
          <w:tcPr>
            <w:tcW w:w="4361" w:type="dxa"/>
            <w:vMerge/>
            <w:tcBorders>
              <w:top w:val="single" w:sz="12" w:space="0" w:color="808080"/>
              <w:left w:val="single" w:sz="12" w:space="0" w:color="FFFFFF"/>
              <w:bottom w:val="double" w:sz="12" w:space="0" w:color="808080"/>
              <w:right w:val="single" w:sz="12" w:space="0" w:color="FFFFFF"/>
            </w:tcBorders>
            <w:shd w:val="clear" w:color="auto" w:fill="F2F2F2"/>
            <w:vAlign w:val="center"/>
          </w:tcPr>
          <w:p w14:paraId="12539F9C" w14:textId="77777777" w:rsidR="005A5CB7" w:rsidRPr="001A3447" w:rsidRDefault="005A5CB7" w:rsidP="00AD6257">
            <w:pPr>
              <w:spacing w:after="0" w:line="240" w:lineRule="exact"/>
              <w:jc w:val="center"/>
              <w:rPr>
                <w:rFonts w:ascii="Montserrat" w:hAnsi="Montserrat"/>
                <w:b/>
                <w:color w:val="FFFFFF"/>
                <w:sz w:val="16"/>
                <w:szCs w:val="16"/>
              </w:rPr>
            </w:pPr>
          </w:p>
        </w:tc>
        <w:tc>
          <w:tcPr>
            <w:tcW w:w="2126" w:type="dxa"/>
            <w:tcBorders>
              <w:top w:val="single" w:sz="12" w:space="0" w:color="FFFFFF"/>
              <w:left w:val="single" w:sz="12" w:space="0" w:color="FFFFFF"/>
              <w:bottom w:val="double" w:sz="12" w:space="0" w:color="808080"/>
              <w:right w:val="single" w:sz="12" w:space="0" w:color="FFFFFF"/>
            </w:tcBorders>
            <w:shd w:val="clear" w:color="auto" w:fill="D4C19C"/>
            <w:vAlign w:val="center"/>
          </w:tcPr>
          <w:p w14:paraId="15304776" w14:textId="56BB9D1C" w:rsidR="005A5CB7" w:rsidRPr="001A3447" w:rsidRDefault="00A1585F" w:rsidP="00AD6257">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Septiembre </w:t>
            </w:r>
            <w:r w:rsidR="005A5CB7" w:rsidRPr="001A3447">
              <w:rPr>
                <w:rFonts w:ascii="Montserrat" w:hAnsi="Montserrat"/>
                <w:b/>
                <w:color w:val="FFFFFF"/>
                <w:sz w:val="16"/>
                <w:szCs w:val="16"/>
              </w:rPr>
              <w:t>202</w:t>
            </w:r>
            <w:r>
              <w:rPr>
                <w:rFonts w:ascii="Montserrat" w:hAnsi="Montserrat"/>
                <w:b/>
                <w:color w:val="FFFFFF"/>
                <w:sz w:val="16"/>
                <w:szCs w:val="16"/>
              </w:rPr>
              <w:t>2</w:t>
            </w:r>
          </w:p>
        </w:tc>
      </w:tr>
      <w:tr w:rsidR="005A5CB7" w:rsidRPr="00C82DA7" w14:paraId="225D5A3C" w14:textId="77777777" w:rsidTr="005A5CB7">
        <w:trPr>
          <w:trHeight w:val="251"/>
        </w:trPr>
        <w:tc>
          <w:tcPr>
            <w:tcW w:w="4361" w:type="dxa"/>
            <w:tcBorders>
              <w:top w:val="double" w:sz="12" w:space="0" w:color="808080"/>
              <w:left w:val="nil"/>
              <w:bottom w:val="single" w:sz="12" w:space="0" w:color="808080"/>
              <w:right w:val="nil"/>
            </w:tcBorders>
            <w:shd w:val="clear" w:color="auto" w:fill="F2F2F2"/>
          </w:tcPr>
          <w:p w14:paraId="373EE370" w14:textId="0C62EC41" w:rsidR="005A5CB7" w:rsidRPr="00A1585F" w:rsidRDefault="005A5CB7" w:rsidP="005A5CB7">
            <w:pPr>
              <w:tabs>
                <w:tab w:val="right" w:pos="4120"/>
              </w:tabs>
              <w:spacing w:after="0" w:line="240" w:lineRule="exact"/>
              <w:rPr>
                <w:rFonts w:ascii="Montserrat" w:hAnsi="Montserrat"/>
                <w:sz w:val="15"/>
                <w:szCs w:val="15"/>
              </w:rPr>
            </w:pPr>
            <w:r w:rsidRPr="00A1585F">
              <w:rPr>
                <w:rFonts w:ascii="Montserrat" w:hAnsi="Montserrat"/>
                <w:sz w:val="15"/>
                <w:szCs w:val="15"/>
              </w:rPr>
              <w:t xml:space="preserve">Bienes </w:t>
            </w:r>
            <w:r w:rsidR="00A1585F">
              <w:rPr>
                <w:rFonts w:ascii="Montserrat" w:hAnsi="Montserrat"/>
                <w:sz w:val="15"/>
                <w:szCs w:val="15"/>
              </w:rPr>
              <w:t>Artísticos en Custodia</w:t>
            </w:r>
          </w:p>
        </w:tc>
        <w:tc>
          <w:tcPr>
            <w:tcW w:w="2126" w:type="dxa"/>
            <w:tcBorders>
              <w:top w:val="double" w:sz="12" w:space="0" w:color="808080"/>
              <w:left w:val="nil"/>
              <w:bottom w:val="single" w:sz="12" w:space="0" w:color="808080"/>
              <w:right w:val="nil"/>
            </w:tcBorders>
            <w:shd w:val="clear" w:color="auto" w:fill="F2F2F2"/>
            <w:vAlign w:val="center"/>
          </w:tcPr>
          <w:p w14:paraId="01DD5047" w14:textId="5016BCFE" w:rsidR="005A5CB7" w:rsidRPr="00A1585F" w:rsidRDefault="00A1585F" w:rsidP="00AD6257">
            <w:pPr>
              <w:spacing w:after="0" w:line="240" w:lineRule="exact"/>
              <w:jc w:val="right"/>
              <w:rPr>
                <w:rFonts w:ascii="Montserrat" w:eastAsia="Arial Unicode MS" w:hAnsi="Montserrat" w:cs="Arial Unicode MS"/>
                <w:sz w:val="15"/>
                <w:szCs w:val="15"/>
                <w:lang w:eastAsia="es-MX"/>
              </w:rPr>
            </w:pPr>
            <w:r w:rsidRPr="00A1585F">
              <w:rPr>
                <w:rFonts w:ascii="Montserrat" w:eastAsia="Arial Unicode MS" w:hAnsi="Montserrat" w:cs="Arial Unicode MS"/>
                <w:sz w:val="15"/>
                <w:szCs w:val="15"/>
                <w:lang w:eastAsia="es-MX"/>
              </w:rPr>
              <w:t>3</w:t>
            </w:r>
            <w:r>
              <w:rPr>
                <w:rFonts w:ascii="Montserrat" w:eastAsia="Arial Unicode MS" w:hAnsi="Montserrat" w:cs="Arial Unicode MS"/>
                <w:sz w:val="15"/>
                <w:szCs w:val="15"/>
                <w:lang w:eastAsia="es-MX"/>
              </w:rPr>
              <w:t>,</w:t>
            </w:r>
            <w:r w:rsidRPr="00A1585F">
              <w:rPr>
                <w:rFonts w:ascii="Montserrat" w:eastAsia="Arial Unicode MS" w:hAnsi="Montserrat" w:cs="Arial Unicode MS"/>
                <w:sz w:val="15"/>
                <w:szCs w:val="15"/>
                <w:lang w:eastAsia="es-MX"/>
              </w:rPr>
              <w:t>494</w:t>
            </w:r>
            <w:r>
              <w:rPr>
                <w:rFonts w:ascii="Montserrat" w:eastAsia="Arial Unicode MS" w:hAnsi="Montserrat" w:cs="Arial Unicode MS"/>
                <w:sz w:val="15"/>
                <w:szCs w:val="15"/>
                <w:lang w:eastAsia="es-MX"/>
              </w:rPr>
              <w:t>,</w:t>
            </w:r>
            <w:r w:rsidRPr="00A1585F">
              <w:rPr>
                <w:rFonts w:ascii="Montserrat" w:eastAsia="Arial Unicode MS" w:hAnsi="Montserrat" w:cs="Arial Unicode MS"/>
                <w:sz w:val="15"/>
                <w:szCs w:val="15"/>
                <w:lang w:eastAsia="es-MX"/>
              </w:rPr>
              <w:t>869</w:t>
            </w:r>
            <w:r>
              <w:rPr>
                <w:rFonts w:ascii="Montserrat" w:eastAsia="Arial Unicode MS" w:hAnsi="Montserrat" w:cs="Arial Unicode MS"/>
                <w:sz w:val="15"/>
                <w:szCs w:val="15"/>
                <w:lang w:eastAsia="es-MX"/>
              </w:rPr>
              <w:t>,</w:t>
            </w:r>
            <w:r w:rsidRPr="00A1585F">
              <w:rPr>
                <w:rFonts w:ascii="Montserrat" w:eastAsia="Arial Unicode MS" w:hAnsi="Montserrat" w:cs="Arial Unicode MS"/>
                <w:sz w:val="15"/>
                <w:szCs w:val="15"/>
                <w:lang w:eastAsia="es-MX"/>
              </w:rPr>
              <w:t>000</w:t>
            </w:r>
            <w:r>
              <w:rPr>
                <w:rFonts w:ascii="Montserrat" w:eastAsia="Arial Unicode MS" w:hAnsi="Montserrat" w:cs="Arial Unicode MS"/>
                <w:sz w:val="15"/>
                <w:szCs w:val="15"/>
                <w:lang w:eastAsia="es-MX"/>
              </w:rPr>
              <w:t>.0</w:t>
            </w:r>
          </w:p>
        </w:tc>
      </w:tr>
    </w:tbl>
    <w:p w14:paraId="2FC377D9" w14:textId="77777777" w:rsidR="005A5CB7" w:rsidRDefault="005A5CB7" w:rsidP="009D5C48">
      <w:pPr>
        <w:pStyle w:val="TEXTONORMAL"/>
      </w:pPr>
    </w:p>
    <w:p w14:paraId="61BAC15F" w14:textId="77777777" w:rsidR="00A434B5" w:rsidRDefault="00A434B5" w:rsidP="009D5C48">
      <w:pPr>
        <w:pStyle w:val="TEXTONORMAL"/>
      </w:pPr>
    </w:p>
    <w:p w14:paraId="5499361F" w14:textId="77777777" w:rsidR="00A434B5" w:rsidRDefault="00A434B5" w:rsidP="009D5C48">
      <w:pPr>
        <w:pStyle w:val="TEXTONORMAL"/>
      </w:pPr>
    </w:p>
    <w:p w14:paraId="63D275C4" w14:textId="46CCDC1D" w:rsidR="00DE4279" w:rsidRPr="00DE4279" w:rsidRDefault="00DE4279" w:rsidP="00DE4279">
      <w:pPr>
        <w:pStyle w:val="SUBTITULO2"/>
        <w:numPr>
          <w:ilvl w:val="0"/>
          <w:numId w:val="89"/>
        </w:numPr>
        <w:spacing w:before="0"/>
        <w:ind w:left="357" w:hanging="357"/>
      </w:pPr>
      <w:r>
        <w:t>Cuentas de Orden PresupuestaRIAS</w:t>
      </w:r>
    </w:p>
    <w:p w14:paraId="1BFCDA30" w14:textId="2FBA13D8" w:rsidR="00DE4279" w:rsidRDefault="00DE4279" w:rsidP="00DE4279">
      <w:pPr>
        <w:pStyle w:val="TEXTONORMAL"/>
        <w:rPr>
          <w:lang w:val="es-MX"/>
        </w:rPr>
      </w:pPr>
      <w:r>
        <w:rPr>
          <w:lang w:val="es-MX"/>
        </w:rPr>
        <w:t>Al 3</w:t>
      </w:r>
      <w:r w:rsidR="00904BA0">
        <w:rPr>
          <w:lang w:val="es-MX"/>
        </w:rPr>
        <w:t>0</w:t>
      </w:r>
      <w:r>
        <w:rPr>
          <w:lang w:val="es-MX"/>
        </w:rPr>
        <w:t xml:space="preserve"> de </w:t>
      </w:r>
      <w:r w:rsidR="00904BA0">
        <w:rPr>
          <w:lang w:val="es-MX"/>
        </w:rPr>
        <w:t>septiembre</w:t>
      </w:r>
      <w:r>
        <w:rPr>
          <w:lang w:val="es-MX"/>
        </w:rPr>
        <w:t xml:space="preserve"> de 202</w:t>
      </w:r>
      <w:r w:rsidR="00904BA0">
        <w:rPr>
          <w:lang w:val="es-MX"/>
        </w:rPr>
        <w:t>2</w:t>
      </w:r>
      <w:r>
        <w:rPr>
          <w:lang w:val="es-MX"/>
        </w:rPr>
        <w:t xml:space="preserve"> y </w:t>
      </w:r>
      <w:r w:rsidR="00904BA0">
        <w:rPr>
          <w:lang w:val="es-MX"/>
        </w:rPr>
        <w:t xml:space="preserve">31 de diciembre </w:t>
      </w:r>
      <w:r>
        <w:rPr>
          <w:lang w:val="es-MX"/>
        </w:rPr>
        <w:t>202</w:t>
      </w:r>
      <w:r w:rsidR="00904BA0">
        <w:rPr>
          <w:lang w:val="es-MX"/>
        </w:rPr>
        <w:t>1</w:t>
      </w:r>
      <w:r>
        <w:rPr>
          <w:lang w:val="es-MX"/>
        </w:rPr>
        <w:t xml:space="preserve">, las cifras de los ingresos </w:t>
      </w:r>
      <w:r w:rsidR="005A2A31">
        <w:rPr>
          <w:lang w:val="es-MX"/>
        </w:rPr>
        <w:t>presupuestales</w:t>
      </w:r>
      <w:r>
        <w:rPr>
          <w:lang w:val="es-MX"/>
        </w:rPr>
        <w:t xml:space="preserve"> son las siguientes:</w:t>
      </w:r>
    </w:p>
    <w:p w14:paraId="35D1319B" w14:textId="006AB4AC" w:rsidR="00DE4279" w:rsidRPr="007829F8" w:rsidRDefault="00DE4279" w:rsidP="00DE4279">
      <w:pPr>
        <w:pStyle w:val="TEXTONORMAL"/>
        <w:numPr>
          <w:ilvl w:val="0"/>
          <w:numId w:val="90"/>
        </w:numPr>
        <w:ind w:left="714" w:hanging="357"/>
        <w:rPr>
          <w:lang w:val="es-MX"/>
        </w:rPr>
      </w:pPr>
      <w:r>
        <w:rPr>
          <w:lang w:val="es-MX"/>
        </w:rPr>
        <w:t>De ingresos</w:t>
      </w:r>
    </w:p>
    <w:tbl>
      <w:tblPr>
        <w:tblpPr w:leftFromText="141" w:rightFromText="141" w:vertAnchor="text" w:tblpXSpec="center" w:tblpY="-43"/>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53"/>
        <w:gridCol w:w="3829"/>
        <w:gridCol w:w="3280"/>
      </w:tblGrid>
      <w:tr w:rsidR="00DE4279" w14:paraId="70CC640C" w14:textId="77777777" w:rsidTr="00DE4279">
        <w:trPr>
          <w:trHeight w:val="271"/>
        </w:trPr>
        <w:tc>
          <w:tcPr>
            <w:tcW w:w="2253"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3568DCCE" w14:textId="77777777"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Concepto</w:t>
            </w:r>
          </w:p>
        </w:tc>
        <w:tc>
          <w:tcPr>
            <w:tcW w:w="710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12EB87FB" w14:textId="77777777"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Cifras en pesos</w:t>
            </w:r>
          </w:p>
        </w:tc>
      </w:tr>
      <w:tr w:rsidR="00DE4279" w14:paraId="549A0FA6" w14:textId="77777777" w:rsidTr="00DE4279">
        <w:trPr>
          <w:trHeight w:val="36"/>
        </w:trPr>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6C272594" w14:textId="77777777" w:rsidR="00DE4279" w:rsidRDefault="00DE4279">
            <w:pPr>
              <w:spacing w:after="0" w:line="240" w:lineRule="auto"/>
              <w:rPr>
                <w:rFonts w:ascii="Montserrat" w:hAnsi="Montserrat"/>
                <w:b/>
                <w:color w:val="FFFFFF"/>
                <w:sz w:val="16"/>
                <w:szCs w:val="16"/>
              </w:rPr>
            </w:pPr>
          </w:p>
        </w:tc>
        <w:tc>
          <w:tcPr>
            <w:tcW w:w="3829"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4D99D78" w14:textId="3CEBCD91" w:rsidR="00DE4279" w:rsidRDefault="00DE4279" w:rsidP="00DE4279">
            <w:pPr>
              <w:spacing w:after="0" w:line="240" w:lineRule="exact"/>
              <w:jc w:val="center"/>
              <w:rPr>
                <w:rFonts w:ascii="Montserrat" w:hAnsi="Montserrat"/>
                <w:b/>
                <w:color w:val="FFFFFF"/>
                <w:sz w:val="16"/>
                <w:szCs w:val="16"/>
              </w:rPr>
            </w:pPr>
            <w:r>
              <w:rPr>
                <w:rFonts w:ascii="Montserrat" w:hAnsi="Montserrat"/>
                <w:b/>
                <w:color w:val="FFFFFF"/>
                <w:sz w:val="16"/>
                <w:szCs w:val="16"/>
              </w:rPr>
              <w:t>202</w:t>
            </w:r>
            <w:r w:rsidR="00904BA0">
              <w:rPr>
                <w:rFonts w:ascii="Montserrat" w:hAnsi="Montserrat"/>
                <w:b/>
                <w:color w:val="FFFFFF"/>
                <w:sz w:val="16"/>
                <w:szCs w:val="16"/>
              </w:rPr>
              <w:t>2</w:t>
            </w:r>
          </w:p>
        </w:tc>
        <w:tc>
          <w:tcPr>
            <w:tcW w:w="3280" w:type="dxa"/>
            <w:tcBorders>
              <w:top w:val="single" w:sz="12" w:space="0" w:color="FFFFFF"/>
              <w:left w:val="single" w:sz="12" w:space="0" w:color="FFFFFF"/>
              <w:bottom w:val="double" w:sz="12" w:space="0" w:color="808080"/>
              <w:right w:val="single" w:sz="12" w:space="0" w:color="FFFFFF"/>
            </w:tcBorders>
            <w:shd w:val="clear" w:color="auto" w:fill="D4C19C"/>
            <w:hideMark/>
          </w:tcPr>
          <w:p w14:paraId="1B7AE46E" w14:textId="4F518367" w:rsidR="00DE4279" w:rsidRDefault="00DE4279" w:rsidP="00DE4279">
            <w:pPr>
              <w:spacing w:after="0" w:line="240" w:lineRule="exact"/>
              <w:jc w:val="center"/>
              <w:rPr>
                <w:rFonts w:ascii="Montserrat" w:hAnsi="Montserrat"/>
                <w:b/>
                <w:color w:val="FFFFFF"/>
                <w:sz w:val="16"/>
                <w:szCs w:val="16"/>
              </w:rPr>
            </w:pPr>
            <w:r>
              <w:rPr>
                <w:rFonts w:ascii="Montserrat" w:hAnsi="Montserrat"/>
                <w:b/>
                <w:color w:val="FFFFFF"/>
                <w:sz w:val="16"/>
                <w:szCs w:val="16"/>
              </w:rPr>
              <w:t>202</w:t>
            </w:r>
            <w:r w:rsidR="00904BA0">
              <w:rPr>
                <w:rFonts w:ascii="Montserrat" w:hAnsi="Montserrat"/>
                <w:b/>
                <w:color w:val="FFFFFF"/>
                <w:sz w:val="16"/>
                <w:szCs w:val="16"/>
              </w:rPr>
              <w:t>1</w:t>
            </w:r>
          </w:p>
        </w:tc>
      </w:tr>
      <w:tr w:rsidR="00904BA0" w14:paraId="07DC4E5C" w14:textId="77777777" w:rsidTr="00234F84">
        <w:trPr>
          <w:trHeight w:val="20"/>
        </w:trPr>
        <w:tc>
          <w:tcPr>
            <w:tcW w:w="2253" w:type="dxa"/>
            <w:tcBorders>
              <w:top w:val="double" w:sz="12" w:space="0" w:color="808080"/>
              <w:left w:val="nil"/>
              <w:bottom w:val="nil"/>
              <w:right w:val="nil"/>
            </w:tcBorders>
            <w:shd w:val="clear" w:color="auto" w:fill="F2F2F2"/>
            <w:hideMark/>
          </w:tcPr>
          <w:p w14:paraId="35573C48"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Estimado</w:t>
            </w:r>
          </w:p>
        </w:tc>
        <w:tc>
          <w:tcPr>
            <w:tcW w:w="3829" w:type="dxa"/>
            <w:tcBorders>
              <w:top w:val="double" w:sz="12" w:space="0" w:color="808080"/>
              <w:left w:val="nil"/>
              <w:bottom w:val="nil"/>
              <w:right w:val="nil"/>
            </w:tcBorders>
            <w:shd w:val="clear" w:color="auto" w:fill="F2F2F2"/>
            <w:vAlign w:val="center"/>
          </w:tcPr>
          <w:p w14:paraId="6EB05BFD" w14:textId="45DBB17A" w:rsidR="00904BA0" w:rsidRPr="005A2A31"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784,409,549,795.0</w:t>
            </w:r>
          </w:p>
        </w:tc>
        <w:tc>
          <w:tcPr>
            <w:tcW w:w="3280" w:type="dxa"/>
            <w:tcBorders>
              <w:top w:val="double" w:sz="12" w:space="0" w:color="808080"/>
              <w:left w:val="nil"/>
              <w:bottom w:val="nil"/>
              <w:right w:val="nil"/>
            </w:tcBorders>
            <w:shd w:val="clear" w:color="auto" w:fill="F2F2F2"/>
            <w:vAlign w:val="center"/>
            <w:hideMark/>
          </w:tcPr>
          <w:p w14:paraId="7EC5DDD6" w14:textId="07D8F552"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937,027,328,312.0</w:t>
            </w:r>
          </w:p>
        </w:tc>
      </w:tr>
      <w:tr w:rsidR="00904BA0" w14:paraId="64D0E67A" w14:textId="77777777" w:rsidTr="00234F84">
        <w:trPr>
          <w:trHeight w:val="80"/>
        </w:trPr>
        <w:tc>
          <w:tcPr>
            <w:tcW w:w="2253" w:type="dxa"/>
            <w:tcBorders>
              <w:top w:val="nil"/>
              <w:left w:val="nil"/>
              <w:bottom w:val="nil"/>
              <w:right w:val="nil"/>
            </w:tcBorders>
            <w:shd w:val="clear" w:color="auto" w:fill="F2F2F2"/>
            <w:hideMark/>
          </w:tcPr>
          <w:p w14:paraId="29B6DD64"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Modificado</w:t>
            </w:r>
          </w:p>
        </w:tc>
        <w:tc>
          <w:tcPr>
            <w:tcW w:w="3829" w:type="dxa"/>
            <w:tcBorders>
              <w:top w:val="nil"/>
              <w:left w:val="nil"/>
              <w:bottom w:val="nil"/>
              <w:right w:val="nil"/>
            </w:tcBorders>
            <w:shd w:val="clear" w:color="auto" w:fill="F2F2F2"/>
            <w:vAlign w:val="center"/>
          </w:tcPr>
          <w:p w14:paraId="6758011E" w14:textId="1834607A"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796,134,441,515.0</w:t>
            </w:r>
          </w:p>
        </w:tc>
        <w:tc>
          <w:tcPr>
            <w:tcW w:w="3280" w:type="dxa"/>
            <w:tcBorders>
              <w:top w:val="nil"/>
              <w:left w:val="nil"/>
              <w:bottom w:val="nil"/>
              <w:right w:val="nil"/>
            </w:tcBorders>
            <w:shd w:val="clear" w:color="auto" w:fill="F2F2F2"/>
            <w:vAlign w:val="center"/>
            <w:hideMark/>
          </w:tcPr>
          <w:p w14:paraId="362FDA27" w14:textId="4A84ED48"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957,762,958,089.0</w:t>
            </w:r>
          </w:p>
        </w:tc>
      </w:tr>
      <w:tr w:rsidR="00904BA0" w14:paraId="06970583" w14:textId="77777777" w:rsidTr="00234F84">
        <w:trPr>
          <w:trHeight w:val="82"/>
        </w:trPr>
        <w:tc>
          <w:tcPr>
            <w:tcW w:w="2253" w:type="dxa"/>
            <w:tcBorders>
              <w:top w:val="nil"/>
              <w:left w:val="nil"/>
              <w:bottom w:val="nil"/>
              <w:right w:val="nil"/>
            </w:tcBorders>
            <w:shd w:val="clear" w:color="auto" w:fill="F2F2F2"/>
            <w:hideMark/>
          </w:tcPr>
          <w:p w14:paraId="3D26CE22"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Devengado</w:t>
            </w:r>
          </w:p>
        </w:tc>
        <w:tc>
          <w:tcPr>
            <w:tcW w:w="3829" w:type="dxa"/>
            <w:tcBorders>
              <w:top w:val="nil"/>
              <w:left w:val="nil"/>
              <w:bottom w:val="nil"/>
              <w:right w:val="nil"/>
            </w:tcBorders>
            <w:shd w:val="clear" w:color="auto" w:fill="F2F2F2"/>
            <w:vAlign w:val="center"/>
          </w:tcPr>
          <w:p w14:paraId="14BEB2D7" w14:textId="2C65E2EA" w:rsidR="00904BA0" w:rsidRPr="005A2A31"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             823,450,031,171.0</w:t>
            </w:r>
          </w:p>
        </w:tc>
        <w:tc>
          <w:tcPr>
            <w:tcW w:w="3280" w:type="dxa"/>
            <w:tcBorders>
              <w:top w:val="nil"/>
              <w:left w:val="nil"/>
              <w:bottom w:val="nil"/>
              <w:right w:val="nil"/>
            </w:tcBorders>
            <w:shd w:val="clear" w:color="auto" w:fill="F2F2F2"/>
            <w:vAlign w:val="center"/>
            <w:hideMark/>
          </w:tcPr>
          <w:p w14:paraId="72DF9654" w14:textId="6CB2CB72"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963,223,991,729.0</w:t>
            </w:r>
          </w:p>
        </w:tc>
      </w:tr>
      <w:tr w:rsidR="00904BA0" w14:paraId="3C777903" w14:textId="77777777" w:rsidTr="00234F84">
        <w:trPr>
          <w:trHeight w:val="80"/>
        </w:trPr>
        <w:tc>
          <w:tcPr>
            <w:tcW w:w="2253" w:type="dxa"/>
            <w:tcBorders>
              <w:top w:val="nil"/>
              <w:left w:val="nil"/>
              <w:bottom w:val="single" w:sz="12" w:space="0" w:color="808080"/>
              <w:right w:val="nil"/>
            </w:tcBorders>
            <w:shd w:val="clear" w:color="auto" w:fill="F2F2F2"/>
            <w:hideMark/>
          </w:tcPr>
          <w:p w14:paraId="6ABB22C4"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Recaudado</w:t>
            </w:r>
          </w:p>
        </w:tc>
        <w:tc>
          <w:tcPr>
            <w:tcW w:w="3829" w:type="dxa"/>
            <w:tcBorders>
              <w:top w:val="nil"/>
              <w:left w:val="nil"/>
              <w:bottom w:val="single" w:sz="12" w:space="0" w:color="808080"/>
              <w:right w:val="nil"/>
            </w:tcBorders>
            <w:shd w:val="clear" w:color="auto" w:fill="F2F2F2"/>
            <w:vAlign w:val="center"/>
          </w:tcPr>
          <w:p w14:paraId="2831B18A" w14:textId="5BBF067E" w:rsidR="00904BA0" w:rsidRPr="005A2A31"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811,056,949,480.0</w:t>
            </w:r>
          </w:p>
        </w:tc>
        <w:tc>
          <w:tcPr>
            <w:tcW w:w="3280" w:type="dxa"/>
            <w:tcBorders>
              <w:top w:val="nil"/>
              <w:left w:val="nil"/>
              <w:bottom w:val="single" w:sz="12" w:space="0" w:color="808080"/>
              <w:right w:val="nil"/>
            </w:tcBorders>
            <w:shd w:val="clear" w:color="auto" w:fill="F2F2F2"/>
            <w:vAlign w:val="center"/>
            <w:hideMark/>
          </w:tcPr>
          <w:p w14:paraId="1574CA09" w14:textId="38A18C75"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953,747,351,587.0</w:t>
            </w:r>
          </w:p>
        </w:tc>
      </w:tr>
    </w:tbl>
    <w:p w14:paraId="4E6A3557" w14:textId="77777777" w:rsidR="00DE4279" w:rsidRDefault="00DE4279" w:rsidP="00DE4279">
      <w:pPr>
        <w:pStyle w:val="TEXTONORMAL"/>
      </w:pPr>
    </w:p>
    <w:p w14:paraId="5B8D2EDC" w14:textId="77777777" w:rsidR="00DE4279" w:rsidRDefault="00DE4279" w:rsidP="00DE4279">
      <w:pPr>
        <w:pStyle w:val="TEXTONORMAL"/>
      </w:pPr>
    </w:p>
    <w:p w14:paraId="524B891C" w14:textId="77777777" w:rsidR="00DE4279" w:rsidRDefault="00DE4279" w:rsidP="00DE4279">
      <w:pPr>
        <w:pStyle w:val="TEXTONORMAL"/>
      </w:pPr>
    </w:p>
    <w:p w14:paraId="36D7D32F" w14:textId="77777777" w:rsidR="00DE4279" w:rsidRDefault="00DE4279" w:rsidP="00DE4279">
      <w:pPr>
        <w:pStyle w:val="TEXTONORMAL"/>
      </w:pPr>
    </w:p>
    <w:p w14:paraId="10CD8E04" w14:textId="77777777" w:rsidR="00DE4279" w:rsidRDefault="00DE4279" w:rsidP="00DE4279">
      <w:pPr>
        <w:pStyle w:val="TEXTONORMAL"/>
      </w:pPr>
    </w:p>
    <w:p w14:paraId="38CDDE0F" w14:textId="0752273D" w:rsidR="00DE4279" w:rsidRDefault="00DE4279" w:rsidP="00DE4279">
      <w:pPr>
        <w:pStyle w:val="TEXTONORMAL"/>
      </w:pPr>
      <w:r>
        <w:t>Al 3</w:t>
      </w:r>
      <w:r w:rsidR="00F050D1">
        <w:t>0 de septiembre de 2022 y 31</w:t>
      </w:r>
      <w:r>
        <w:t xml:space="preserve"> de diciembre de 2021, las cifras de los egresos </w:t>
      </w:r>
      <w:r w:rsidR="005A2A31">
        <w:t>presupuestales</w:t>
      </w:r>
      <w:r>
        <w:t xml:space="preserve"> son las siguientes:</w:t>
      </w:r>
    </w:p>
    <w:p w14:paraId="53CEB707" w14:textId="2A5477A7" w:rsidR="00DE4279" w:rsidRPr="005A2A31" w:rsidRDefault="00DE4279" w:rsidP="005A2A31">
      <w:pPr>
        <w:pStyle w:val="TEXTONORMAL"/>
        <w:numPr>
          <w:ilvl w:val="0"/>
          <w:numId w:val="90"/>
        </w:numPr>
        <w:ind w:left="714" w:hanging="357"/>
        <w:rPr>
          <w:lang w:val="es-MX"/>
        </w:rPr>
      </w:pPr>
      <w:r>
        <w:rPr>
          <w:lang w:val="es-MX"/>
        </w:rPr>
        <w:t>De egresos</w:t>
      </w:r>
    </w:p>
    <w:tbl>
      <w:tblPr>
        <w:tblpPr w:leftFromText="141" w:rightFromText="141" w:vertAnchor="text" w:tblpXSpec="center" w:tblpY="-43"/>
        <w:tblOverlap w:val="neve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323"/>
        <w:gridCol w:w="3541"/>
        <w:gridCol w:w="3542"/>
      </w:tblGrid>
      <w:tr w:rsidR="00DE4279" w14:paraId="706AD66B" w14:textId="77777777" w:rsidTr="00F050D1">
        <w:trPr>
          <w:trHeight w:val="118"/>
        </w:trPr>
        <w:tc>
          <w:tcPr>
            <w:tcW w:w="2323"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27463D12" w14:textId="77777777"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Concepto</w:t>
            </w:r>
          </w:p>
        </w:tc>
        <w:tc>
          <w:tcPr>
            <w:tcW w:w="7083"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4CA1A604" w14:textId="77777777"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Cifras en pesos</w:t>
            </w:r>
          </w:p>
        </w:tc>
      </w:tr>
      <w:tr w:rsidR="00DE4279" w14:paraId="7F4E87FB" w14:textId="77777777" w:rsidTr="00F050D1">
        <w:trPr>
          <w:trHeight w:val="35"/>
        </w:trPr>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4DB0C773" w14:textId="77777777" w:rsidR="00DE4279" w:rsidRDefault="00DE4279">
            <w:pPr>
              <w:spacing w:after="0" w:line="240" w:lineRule="auto"/>
              <w:rPr>
                <w:rFonts w:ascii="Montserrat" w:hAnsi="Montserrat"/>
                <w:b/>
                <w:color w:val="FFFFFF"/>
                <w:sz w:val="16"/>
                <w:szCs w:val="16"/>
              </w:rPr>
            </w:pPr>
          </w:p>
        </w:tc>
        <w:tc>
          <w:tcPr>
            <w:tcW w:w="354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11E054EE" w14:textId="5BA7818E"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202</w:t>
            </w:r>
            <w:r w:rsidR="00904BA0">
              <w:rPr>
                <w:rFonts w:ascii="Montserrat" w:hAnsi="Montserrat"/>
                <w:b/>
                <w:color w:val="FFFFFF"/>
                <w:sz w:val="16"/>
                <w:szCs w:val="16"/>
              </w:rPr>
              <w:t>2</w:t>
            </w:r>
          </w:p>
        </w:tc>
        <w:tc>
          <w:tcPr>
            <w:tcW w:w="3542" w:type="dxa"/>
            <w:tcBorders>
              <w:top w:val="single" w:sz="12" w:space="0" w:color="FFFFFF"/>
              <w:left w:val="single" w:sz="12" w:space="0" w:color="FFFFFF"/>
              <w:bottom w:val="double" w:sz="12" w:space="0" w:color="808080"/>
              <w:right w:val="single" w:sz="12" w:space="0" w:color="FFFFFF"/>
            </w:tcBorders>
            <w:shd w:val="clear" w:color="auto" w:fill="D4C19C"/>
            <w:hideMark/>
          </w:tcPr>
          <w:p w14:paraId="6626F33E" w14:textId="6A6EE7A2" w:rsidR="00DE4279" w:rsidRDefault="00DE4279">
            <w:pPr>
              <w:spacing w:after="0" w:line="240" w:lineRule="exact"/>
              <w:jc w:val="center"/>
              <w:rPr>
                <w:rFonts w:ascii="Montserrat" w:hAnsi="Montserrat"/>
                <w:b/>
                <w:color w:val="FFFFFF"/>
                <w:sz w:val="16"/>
                <w:szCs w:val="16"/>
              </w:rPr>
            </w:pPr>
            <w:r>
              <w:rPr>
                <w:rFonts w:ascii="Montserrat" w:hAnsi="Montserrat"/>
                <w:b/>
                <w:color w:val="FFFFFF"/>
                <w:sz w:val="16"/>
                <w:szCs w:val="16"/>
              </w:rPr>
              <w:t>202</w:t>
            </w:r>
            <w:r w:rsidR="00904BA0">
              <w:rPr>
                <w:rFonts w:ascii="Montserrat" w:hAnsi="Montserrat"/>
                <w:b/>
                <w:color w:val="FFFFFF"/>
                <w:sz w:val="16"/>
                <w:szCs w:val="16"/>
              </w:rPr>
              <w:t>1</w:t>
            </w:r>
          </w:p>
        </w:tc>
      </w:tr>
      <w:tr w:rsidR="00904BA0" w14:paraId="52ADD695" w14:textId="77777777" w:rsidTr="00F050D1">
        <w:trPr>
          <w:trHeight w:val="138"/>
        </w:trPr>
        <w:tc>
          <w:tcPr>
            <w:tcW w:w="2323" w:type="dxa"/>
            <w:tcBorders>
              <w:top w:val="double" w:sz="12" w:space="0" w:color="808080"/>
              <w:left w:val="nil"/>
              <w:bottom w:val="nil"/>
              <w:right w:val="nil"/>
            </w:tcBorders>
            <w:shd w:val="clear" w:color="auto" w:fill="F2F2F2"/>
            <w:vAlign w:val="center"/>
            <w:hideMark/>
          </w:tcPr>
          <w:p w14:paraId="02C3AF0F"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Aprobado</w:t>
            </w:r>
          </w:p>
        </w:tc>
        <w:tc>
          <w:tcPr>
            <w:tcW w:w="3541" w:type="dxa"/>
            <w:tcBorders>
              <w:top w:val="double" w:sz="12" w:space="0" w:color="808080"/>
              <w:left w:val="nil"/>
              <w:bottom w:val="nil"/>
              <w:right w:val="nil"/>
            </w:tcBorders>
            <w:shd w:val="clear" w:color="auto" w:fill="F2F2F2"/>
            <w:vAlign w:val="center"/>
          </w:tcPr>
          <w:p w14:paraId="281F8421" w14:textId="390A729A"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             704,908,378,544.0</w:t>
            </w:r>
          </w:p>
        </w:tc>
        <w:tc>
          <w:tcPr>
            <w:tcW w:w="3542" w:type="dxa"/>
            <w:tcBorders>
              <w:top w:val="double" w:sz="12" w:space="0" w:color="808080"/>
              <w:left w:val="nil"/>
              <w:bottom w:val="nil"/>
              <w:right w:val="nil"/>
            </w:tcBorders>
            <w:shd w:val="clear" w:color="auto" w:fill="F2F2F2"/>
            <w:vAlign w:val="center"/>
            <w:hideMark/>
          </w:tcPr>
          <w:p w14:paraId="5C1CA9E0" w14:textId="3BD5A846"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901,687,110,152.0</w:t>
            </w:r>
          </w:p>
        </w:tc>
      </w:tr>
      <w:tr w:rsidR="00904BA0" w14:paraId="0CCEAEB6" w14:textId="77777777" w:rsidTr="00F050D1">
        <w:trPr>
          <w:trHeight w:val="80"/>
        </w:trPr>
        <w:tc>
          <w:tcPr>
            <w:tcW w:w="2323" w:type="dxa"/>
            <w:tcBorders>
              <w:top w:val="nil"/>
              <w:left w:val="nil"/>
              <w:bottom w:val="nil"/>
              <w:right w:val="nil"/>
            </w:tcBorders>
            <w:shd w:val="clear" w:color="auto" w:fill="F2F2F2"/>
            <w:vAlign w:val="center"/>
            <w:hideMark/>
          </w:tcPr>
          <w:p w14:paraId="720DF4A8"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Modificado</w:t>
            </w:r>
          </w:p>
        </w:tc>
        <w:tc>
          <w:tcPr>
            <w:tcW w:w="3541" w:type="dxa"/>
            <w:tcBorders>
              <w:top w:val="nil"/>
              <w:left w:val="nil"/>
              <w:bottom w:val="nil"/>
              <w:right w:val="nil"/>
            </w:tcBorders>
            <w:shd w:val="clear" w:color="auto" w:fill="F2F2F2"/>
            <w:vAlign w:val="center"/>
          </w:tcPr>
          <w:p w14:paraId="1C6FCBC4" w14:textId="60DB5EAD"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             719,563,563,516.0</w:t>
            </w:r>
          </w:p>
        </w:tc>
        <w:tc>
          <w:tcPr>
            <w:tcW w:w="3542" w:type="dxa"/>
            <w:tcBorders>
              <w:top w:val="nil"/>
              <w:left w:val="nil"/>
              <w:bottom w:val="nil"/>
              <w:right w:val="nil"/>
            </w:tcBorders>
            <w:shd w:val="clear" w:color="auto" w:fill="F2F2F2"/>
            <w:vAlign w:val="center"/>
            <w:hideMark/>
          </w:tcPr>
          <w:p w14:paraId="07E8E610" w14:textId="75C993D4"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911,934,825,301.0</w:t>
            </w:r>
          </w:p>
        </w:tc>
      </w:tr>
      <w:tr w:rsidR="00904BA0" w14:paraId="48CCF1A4" w14:textId="77777777" w:rsidTr="00F050D1">
        <w:trPr>
          <w:trHeight w:val="80"/>
        </w:trPr>
        <w:tc>
          <w:tcPr>
            <w:tcW w:w="2323" w:type="dxa"/>
            <w:tcBorders>
              <w:top w:val="nil"/>
              <w:left w:val="nil"/>
              <w:bottom w:val="nil"/>
              <w:right w:val="nil"/>
            </w:tcBorders>
            <w:shd w:val="clear" w:color="auto" w:fill="F2F2F2"/>
            <w:vAlign w:val="center"/>
            <w:hideMark/>
          </w:tcPr>
          <w:p w14:paraId="701126C0"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Comprometido</w:t>
            </w:r>
          </w:p>
        </w:tc>
        <w:tc>
          <w:tcPr>
            <w:tcW w:w="3541" w:type="dxa"/>
            <w:tcBorders>
              <w:top w:val="nil"/>
              <w:left w:val="nil"/>
              <w:bottom w:val="nil"/>
              <w:right w:val="nil"/>
            </w:tcBorders>
            <w:shd w:val="clear" w:color="auto" w:fill="F2F2F2"/>
            <w:vAlign w:val="center"/>
          </w:tcPr>
          <w:p w14:paraId="5D087B26" w14:textId="0D22CD2F"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                58,176,091,856.</w:t>
            </w:r>
            <w:r>
              <w:rPr>
                <w:rFonts w:ascii="Montserrat" w:eastAsia="Times New Roman" w:hAnsi="Montserrat"/>
                <w:color w:val="000000"/>
                <w:sz w:val="15"/>
                <w:szCs w:val="15"/>
                <w:lang w:val="es-MX" w:eastAsia="es-MX"/>
              </w:rPr>
              <w:t>7</w:t>
            </w:r>
          </w:p>
        </w:tc>
        <w:tc>
          <w:tcPr>
            <w:tcW w:w="3542" w:type="dxa"/>
            <w:tcBorders>
              <w:top w:val="nil"/>
              <w:left w:val="nil"/>
              <w:bottom w:val="nil"/>
              <w:right w:val="nil"/>
            </w:tcBorders>
            <w:shd w:val="clear" w:color="auto" w:fill="F2F2F2"/>
            <w:vAlign w:val="center"/>
            <w:hideMark/>
          </w:tcPr>
          <w:p w14:paraId="2969541F" w14:textId="154BE12B"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912,104,027,378.0</w:t>
            </w:r>
          </w:p>
        </w:tc>
      </w:tr>
      <w:tr w:rsidR="00904BA0" w14:paraId="63CF47F2" w14:textId="77777777" w:rsidTr="00234F84">
        <w:trPr>
          <w:trHeight w:val="277"/>
        </w:trPr>
        <w:tc>
          <w:tcPr>
            <w:tcW w:w="2323" w:type="dxa"/>
            <w:tcBorders>
              <w:top w:val="nil"/>
              <w:left w:val="nil"/>
              <w:bottom w:val="nil"/>
              <w:right w:val="nil"/>
            </w:tcBorders>
            <w:shd w:val="clear" w:color="auto" w:fill="F2F2F2"/>
            <w:vAlign w:val="center"/>
            <w:hideMark/>
          </w:tcPr>
          <w:p w14:paraId="795F0C3F"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Devengado</w:t>
            </w:r>
          </w:p>
        </w:tc>
        <w:tc>
          <w:tcPr>
            <w:tcW w:w="3541" w:type="dxa"/>
            <w:tcBorders>
              <w:top w:val="nil"/>
              <w:left w:val="nil"/>
              <w:bottom w:val="nil"/>
              <w:right w:val="nil"/>
            </w:tcBorders>
            <w:shd w:val="clear" w:color="auto" w:fill="F2F2F2"/>
            <w:vAlign w:val="center"/>
          </w:tcPr>
          <w:p w14:paraId="4E65CDC3" w14:textId="0B263EBF"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727,458,126,057.4</w:t>
            </w:r>
          </w:p>
        </w:tc>
        <w:tc>
          <w:tcPr>
            <w:tcW w:w="3542" w:type="dxa"/>
            <w:tcBorders>
              <w:top w:val="nil"/>
              <w:left w:val="nil"/>
              <w:bottom w:val="nil"/>
              <w:right w:val="nil"/>
            </w:tcBorders>
            <w:shd w:val="clear" w:color="auto" w:fill="F2F2F2"/>
            <w:vAlign w:val="center"/>
            <w:hideMark/>
          </w:tcPr>
          <w:p w14:paraId="32939BDD" w14:textId="66C338C7"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921,987,188,596.0</w:t>
            </w:r>
          </w:p>
        </w:tc>
      </w:tr>
      <w:tr w:rsidR="00904BA0" w14:paraId="3F1480E2" w14:textId="77777777" w:rsidTr="00234F84">
        <w:trPr>
          <w:trHeight w:val="80"/>
        </w:trPr>
        <w:tc>
          <w:tcPr>
            <w:tcW w:w="2323" w:type="dxa"/>
            <w:tcBorders>
              <w:top w:val="nil"/>
              <w:left w:val="nil"/>
              <w:bottom w:val="nil"/>
              <w:right w:val="nil"/>
            </w:tcBorders>
            <w:shd w:val="clear" w:color="auto" w:fill="F2F2F2"/>
            <w:vAlign w:val="center"/>
            <w:hideMark/>
          </w:tcPr>
          <w:p w14:paraId="220806E0"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Ejercido</w:t>
            </w:r>
          </w:p>
        </w:tc>
        <w:tc>
          <w:tcPr>
            <w:tcW w:w="3541" w:type="dxa"/>
            <w:tcBorders>
              <w:top w:val="nil"/>
              <w:left w:val="nil"/>
              <w:bottom w:val="nil"/>
              <w:right w:val="nil"/>
            </w:tcBorders>
            <w:shd w:val="clear" w:color="auto" w:fill="F2F2F2"/>
            <w:vAlign w:val="center"/>
          </w:tcPr>
          <w:p w14:paraId="28FC91CC" w14:textId="5541E17A"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714,297,415,652.4</w:t>
            </w:r>
          </w:p>
        </w:tc>
        <w:tc>
          <w:tcPr>
            <w:tcW w:w="3542" w:type="dxa"/>
            <w:tcBorders>
              <w:top w:val="nil"/>
              <w:left w:val="nil"/>
              <w:bottom w:val="nil"/>
              <w:right w:val="nil"/>
            </w:tcBorders>
            <w:shd w:val="clear" w:color="auto" w:fill="F2F2F2"/>
            <w:vAlign w:val="center"/>
            <w:hideMark/>
          </w:tcPr>
          <w:p w14:paraId="7C721174" w14:textId="670CBA45" w:rsidR="00904BA0" w:rsidRDefault="00904BA0" w:rsidP="00904BA0">
            <w:pPr>
              <w:spacing w:after="0" w:line="240" w:lineRule="exact"/>
              <w:jc w:val="right"/>
              <w:rPr>
                <w:rFonts w:ascii="Montserrat" w:eastAsia="Times New Roman" w:hAnsi="Montserrat"/>
                <w:color w:val="000000"/>
                <w:kern w:val="2"/>
                <w:sz w:val="15"/>
                <w:szCs w:val="15"/>
                <w:lang w:eastAsia="es-MX"/>
              </w:rPr>
            </w:pPr>
            <w:r>
              <w:rPr>
                <w:rFonts w:ascii="Montserrat" w:eastAsia="Times New Roman" w:hAnsi="Montserrat"/>
                <w:color w:val="000000"/>
                <w:sz w:val="15"/>
                <w:szCs w:val="15"/>
                <w:lang w:val="es-MX" w:eastAsia="es-MX"/>
              </w:rPr>
              <w:t>911,850,455,885.0</w:t>
            </w:r>
          </w:p>
        </w:tc>
      </w:tr>
      <w:tr w:rsidR="00904BA0" w14:paraId="441FFFBB" w14:textId="77777777" w:rsidTr="00234F84">
        <w:trPr>
          <w:trHeight w:val="262"/>
        </w:trPr>
        <w:tc>
          <w:tcPr>
            <w:tcW w:w="2323" w:type="dxa"/>
            <w:tcBorders>
              <w:top w:val="nil"/>
              <w:left w:val="nil"/>
              <w:bottom w:val="single" w:sz="12" w:space="0" w:color="808080"/>
              <w:right w:val="nil"/>
            </w:tcBorders>
            <w:shd w:val="clear" w:color="auto" w:fill="F2F2F2"/>
            <w:vAlign w:val="center"/>
            <w:hideMark/>
          </w:tcPr>
          <w:p w14:paraId="10A12DC1" w14:textId="77777777" w:rsidR="00904BA0" w:rsidRDefault="00904BA0" w:rsidP="00904BA0">
            <w:pPr>
              <w:tabs>
                <w:tab w:val="right" w:pos="4120"/>
              </w:tabs>
              <w:spacing w:after="0" w:line="240" w:lineRule="exact"/>
              <w:rPr>
                <w:rFonts w:ascii="Montserrat" w:hAnsi="Montserrat"/>
                <w:sz w:val="15"/>
                <w:szCs w:val="15"/>
              </w:rPr>
            </w:pPr>
            <w:r>
              <w:rPr>
                <w:rFonts w:ascii="Montserrat" w:hAnsi="Montserrat"/>
                <w:sz w:val="15"/>
                <w:szCs w:val="15"/>
              </w:rPr>
              <w:t>Pagado</w:t>
            </w:r>
          </w:p>
        </w:tc>
        <w:tc>
          <w:tcPr>
            <w:tcW w:w="3541" w:type="dxa"/>
            <w:tcBorders>
              <w:top w:val="nil"/>
              <w:left w:val="nil"/>
              <w:bottom w:val="single" w:sz="12" w:space="0" w:color="808080"/>
              <w:right w:val="nil"/>
            </w:tcBorders>
            <w:shd w:val="clear" w:color="auto" w:fill="F2F2F2"/>
            <w:vAlign w:val="center"/>
          </w:tcPr>
          <w:p w14:paraId="1264FBD0" w14:textId="5B73F915" w:rsidR="00904BA0" w:rsidRDefault="005A2A31" w:rsidP="00904BA0">
            <w:pPr>
              <w:spacing w:after="0" w:line="240" w:lineRule="exact"/>
              <w:jc w:val="right"/>
              <w:rPr>
                <w:rFonts w:ascii="Montserrat" w:eastAsia="Times New Roman" w:hAnsi="Montserrat"/>
                <w:color w:val="000000"/>
                <w:sz w:val="15"/>
                <w:szCs w:val="15"/>
                <w:lang w:val="es-MX" w:eastAsia="es-MX"/>
              </w:rPr>
            </w:pPr>
            <w:r w:rsidRPr="005A2A31">
              <w:rPr>
                <w:rFonts w:ascii="Montserrat" w:eastAsia="Times New Roman" w:hAnsi="Montserrat"/>
                <w:color w:val="000000"/>
                <w:sz w:val="15"/>
                <w:szCs w:val="15"/>
                <w:lang w:val="es-MX" w:eastAsia="es-MX"/>
              </w:rPr>
              <w:t>714,297,415,652.4</w:t>
            </w:r>
          </w:p>
        </w:tc>
        <w:tc>
          <w:tcPr>
            <w:tcW w:w="3542" w:type="dxa"/>
            <w:tcBorders>
              <w:top w:val="nil"/>
              <w:left w:val="nil"/>
              <w:bottom w:val="single" w:sz="12" w:space="0" w:color="808080"/>
              <w:right w:val="nil"/>
            </w:tcBorders>
            <w:shd w:val="clear" w:color="auto" w:fill="F2F2F2"/>
            <w:vAlign w:val="center"/>
            <w:hideMark/>
          </w:tcPr>
          <w:p w14:paraId="471D24F7" w14:textId="7D10F624" w:rsidR="00904BA0" w:rsidRDefault="00904BA0" w:rsidP="00904BA0">
            <w:pPr>
              <w:spacing w:after="0" w:line="240" w:lineRule="exact"/>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val="es-MX" w:eastAsia="es-MX"/>
              </w:rPr>
              <w:t>911,850,455,885.0</w:t>
            </w:r>
          </w:p>
        </w:tc>
      </w:tr>
    </w:tbl>
    <w:p w14:paraId="1AA28745" w14:textId="77777777" w:rsidR="00DE4279" w:rsidRDefault="00DE4279" w:rsidP="00DE4279">
      <w:pPr>
        <w:spacing w:before="100" w:beforeAutospacing="1" w:after="100" w:afterAutospacing="1" w:line="240" w:lineRule="auto"/>
        <w:rPr>
          <w:rFonts w:ascii="Montserrat" w:hAnsi="Montserrat"/>
          <w:b/>
          <w:sz w:val="18"/>
          <w:szCs w:val="18"/>
        </w:rPr>
      </w:pPr>
    </w:p>
    <w:p w14:paraId="682C2FD7" w14:textId="77777777" w:rsidR="00DE4279" w:rsidRDefault="00DE4279" w:rsidP="00DE4279">
      <w:pPr>
        <w:spacing w:before="100" w:beforeAutospacing="1" w:after="100" w:afterAutospacing="1" w:line="240" w:lineRule="auto"/>
        <w:rPr>
          <w:rFonts w:ascii="Montserrat" w:hAnsi="Montserrat"/>
          <w:b/>
          <w:sz w:val="18"/>
          <w:szCs w:val="18"/>
        </w:rPr>
      </w:pPr>
    </w:p>
    <w:p w14:paraId="023439C7" w14:textId="77777777" w:rsidR="00DE4279" w:rsidRDefault="00DE4279" w:rsidP="00DE4279">
      <w:pPr>
        <w:spacing w:before="100" w:beforeAutospacing="1" w:after="100" w:afterAutospacing="1" w:line="240" w:lineRule="auto"/>
        <w:rPr>
          <w:rFonts w:ascii="Montserrat" w:hAnsi="Montserrat"/>
          <w:b/>
          <w:sz w:val="18"/>
          <w:szCs w:val="18"/>
        </w:rPr>
      </w:pPr>
    </w:p>
    <w:p w14:paraId="14BE3096" w14:textId="77777777" w:rsidR="00A434B5" w:rsidRDefault="00A434B5" w:rsidP="009D5C48">
      <w:pPr>
        <w:pStyle w:val="TEXTONORMAL"/>
      </w:pPr>
    </w:p>
    <w:p w14:paraId="23274B52" w14:textId="77777777" w:rsidR="00E3285C" w:rsidRDefault="00E3285C" w:rsidP="009D5C48">
      <w:pPr>
        <w:pStyle w:val="TEXTONORMAL"/>
      </w:pPr>
    </w:p>
    <w:p w14:paraId="00B4066F" w14:textId="77777777" w:rsidR="005A2A31" w:rsidRDefault="005A2A31" w:rsidP="00714E3C">
      <w:pPr>
        <w:pStyle w:val="Prrafodelista"/>
        <w:spacing w:before="240" w:after="120" w:line="250" w:lineRule="exact"/>
        <w:ind w:left="0"/>
        <w:contextualSpacing w:val="0"/>
        <w:rPr>
          <w:rFonts w:ascii="Montserrat" w:hAnsi="Montserrat" w:cs="Arial"/>
          <w:b/>
          <w:caps/>
        </w:rPr>
      </w:pPr>
    </w:p>
    <w:p w14:paraId="358150DF" w14:textId="3ED807E7" w:rsidR="009D5C48" w:rsidRPr="002626DB" w:rsidRDefault="009D5C48" w:rsidP="00714E3C">
      <w:pPr>
        <w:pStyle w:val="Prrafodelista"/>
        <w:spacing w:before="240" w:after="120" w:line="250" w:lineRule="exact"/>
        <w:ind w:left="0"/>
        <w:contextualSpacing w:val="0"/>
        <w:rPr>
          <w:rFonts w:ascii="Montserrat" w:hAnsi="Montserrat" w:cs="Arial"/>
          <w:b/>
          <w:caps/>
        </w:rPr>
      </w:pPr>
      <w:r w:rsidRPr="002626DB">
        <w:rPr>
          <w:rFonts w:ascii="Montserrat" w:hAnsi="Montserrat" w:cs="Arial"/>
          <w:b/>
          <w:caps/>
        </w:rPr>
        <w:lastRenderedPageBreak/>
        <w:t>Notas de Gestión Administrativa</w:t>
      </w:r>
    </w:p>
    <w:p w14:paraId="3D084AD0" w14:textId="77777777" w:rsidR="009D5C48" w:rsidRPr="00FA6E01" w:rsidRDefault="009D5C48" w:rsidP="003F2A12">
      <w:pPr>
        <w:pStyle w:val="VIETAFLECHA"/>
        <w:numPr>
          <w:ilvl w:val="1"/>
          <w:numId w:val="39"/>
        </w:numPr>
        <w:ind w:left="357" w:hanging="357"/>
        <w:rPr>
          <w:rFonts w:eastAsia="Times New Roman" w:cs="Arial"/>
          <w:b/>
          <w:color w:val="000000"/>
          <w:lang w:val="es-MX" w:eastAsia="es-MX"/>
        </w:rPr>
      </w:pPr>
      <w:r w:rsidRPr="00FA6E01">
        <w:rPr>
          <w:rFonts w:eastAsia="Times New Roman" w:cs="Arial"/>
          <w:b/>
          <w:color w:val="000000"/>
          <w:lang w:val="es-MX" w:eastAsia="es-MX"/>
        </w:rPr>
        <w:t xml:space="preserve">Negocio en Marcha </w:t>
      </w:r>
    </w:p>
    <w:p w14:paraId="022AD233" w14:textId="77777777" w:rsidR="00580391" w:rsidRPr="00C16E7C" w:rsidRDefault="009D5C48" w:rsidP="00C16E7C">
      <w:pPr>
        <w:pStyle w:val="TEXTONORMAL"/>
      </w:pPr>
      <w:r w:rsidRPr="00C16E7C">
        <w:t>El Instituto Mexicano del Seguro Social es una de las principales instituciones de seguridad social del Estado Mexicano, por lo que su objeto social y sus actividades están centradas principalmente en la atención médica y seguridad social, mismos que en 202</w:t>
      </w:r>
      <w:r w:rsidR="00FF5C4F">
        <w:t>2</w:t>
      </w:r>
      <w:r w:rsidRPr="00C16E7C">
        <w:t xml:space="preserve"> no presentaron cambios sustantivos que pudieran afectar el negocio en marcha.</w:t>
      </w:r>
    </w:p>
    <w:p w14:paraId="3FCEB0B0" w14:textId="77777777" w:rsidR="009D5C48" w:rsidRPr="009738E7" w:rsidRDefault="009D5C48" w:rsidP="003F2A12">
      <w:pPr>
        <w:pStyle w:val="TEXTONORMAL"/>
        <w:numPr>
          <w:ilvl w:val="0"/>
          <w:numId w:val="51"/>
        </w:numPr>
        <w:ind w:left="357" w:hanging="357"/>
        <w:rPr>
          <w:b/>
        </w:rPr>
      </w:pPr>
      <w:r w:rsidRPr="009738E7">
        <w:rPr>
          <w:b/>
        </w:rPr>
        <w:t>Autorización e Historia</w:t>
      </w:r>
    </w:p>
    <w:p w14:paraId="775D38B0" w14:textId="77777777" w:rsidR="001059B2" w:rsidRPr="00C16E7C" w:rsidRDefault="009D5C48" w:rsidP="00C16E7C">
      <w:pPr>
        <w:pStyle w:val="TEXTONORMAL"/>
      </w:pPr>
      <w:r w:rsidRPr="00C16E7C">
        <w:t>Por Decreto Presidencial del 31 de diciembre de 1942, publicado en el DOF del 19 de enero de 1943, se constituyó el Instituto Mexicano del Seguro Social 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14:paraId="4E54A63B" w14:textId="77777777" w:rsidR="009D5C48" w:rsidRPr="00415559" w:rsidRDefault="009D5C48" w:rsidP="003F2A12">
      <w:pPr>
        <w:pStyle w:val="TEXTONORMAL"/>
        <w:numPr>
          <w:ilvl w:val="0"/>
          <w:numId w:val="52"/>
        </w:numPr>
        <w:ind w:left="357" w:hanging="357"/>
      </w:pPr>
      <w:r w:rsidRPr="00415559">
        <w:t>Organización y Objeto Social</w:t>
      </w:r>
    </w:p>
    <w:p w14:paraId="207A0DA9" w14:textId="77777777" w:rsidR="009D5C48" w:rsidRPr="00DE354F" w:rsidRDefault="009D5C48" w:rsidP="003F2A12">
      <w:pPr>
        <w:pStyle w:val="TEXTONORMAL"/>
        <w:numPr>
          <w:ilvl w:val="0"/>
          <w:numId w:val="53"/>
        </w:numPr>
        <w:ind w:left="714" w:hanging="357"/>
        <w:rPr>
          <w:lang w:val="es-MX"/>
        </w:rPr>
      </w:pPr>
      <w:r w:rsidRPr="00DE354F">
        <w:rPr>
          <w:lang w:val="es-MX"/>
        </w:rPr>
        <w:t>Objeto Social y su Principal Actividad</w:t>
      </w:r>
    </w:p>
    <w:p w14:paraId="056AD946" w14:textId="77777777" w:rsidR="009D5C48" w:rsidRPr="00C16E7C" w:rsidRDefault="009D5C48" w:rsidP="00C16E7C">
      <w:pPr>
        <w:pStyle w:val="TEXTONORMAL"/>
      </w:pPr>
      <w:r w:rsidRPr="00C16E7C">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14:paraId="6F1E13D7" w14:textId="77777777" w:rsidR="009D5C48" w:rsidRPr="00DE354F" w:rsidRDefault="009D5C48" w:rsidP="003F2A12">
      <w:pPr>
        <w:pStyle w:val="TEXTONORMAL"/>
        <w:numPr>
          <w:ilvl w:val="0"/>
          <w:numId w:val="53"/>
        </w:numPr>
        <w:ind w:left="714" w:hanging="357"/>
        <w:rPr>
          <w:lang w:val="es-MX"/>
        </w:rPr>
      </w:pPr>
      <w:r w:rsidRPr="00DE354F">
        <w:rPr>
          <w:lang w:val="es-MX"/>
        </w:rPr>
        <w:t>Ejercicio Fiscal</w:t>
      </w:r>
    </w:p>
    <w:p w14:paraId="6FEC0EE5" w14:textId="77777777" w:rsidR="009D5C48" w:rsidRPr="00C16E7C" w:rsidRDefault="009D5C48" w:rsidP="00C16E7C">
      <w:pPr>
        <w:pStyle w:val="TEXTONORMAL"/>
      </w:pPr>
      <w:r w:rsidRPr="00C16E7C">
        <w:t xml:space="preserve">El presente documento muestra la información financiera del 1 de enero al </w:t>
      </w:r>
      <w:r w:rsidR="00B91C41">
        <w:t>30 de</w:t>
      </w:r>
      <w:r w:rsidR="00586DDC">
        <w:t xml:space="preserve"> septiembre</w:t>
      </w:r>
      <w:r w:rsidRPr="00C16E7C">
        <w:t xml:space="preserve"> de 202</w:t>
      </w:r>
      <w:r w:rsidR="003C4ECC">
        <w:t>2</w:t>
      </w:r>
      <w:r w:rsidRPr="00C16E7C">
        <w:t xml:space="preserve">. </w:t>
      </w:r>
    </w:p>
    <w:p w14:paraId="4E0467B1" w14:textId="77777777" w:rsidR="009D5C48" w:rsidRPr="00DE354F" w:rsidRDefault="009D5C48" w:rsidP="003F2A12">
      <w:pPr>
        <w:pStyle w:val="TEXTONORMAL"/>
        <w:numPr>
          <w:ilvl w:val="0"/>
          <w:numId w:val="53"/>
        </w:numPr>
        <w:ind w:left="714" w:hanging="357"/>
        <w:rPr>
          <w:lang w:val="es-MX"/>
        </w:rPr>
      </w:pPr>
      <w:r w:rsidRPr="00DE354F">
        <w:rPr>
          <w:lang w:val="es-MX"/>
        </w:rPr>
        <w:t>Régimen Jurídico</w:t>
      </w:r>
    </w:p>
    <w:p w14:paraId="1A0ADEEC" w14:textId="77777777" w:rsidR="009D5C48" w:rsidRPr="00C16E7C" w:rsidRDefault="009D5C48" w:rsidP="00C16E7C">
      <w:pPr>
        <w:pStyle w:val="TEXTONORMAL"/>
      </w:pPr>
      <w:r w:rsidRPr="00C16E7C">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 noviembre de 2019, octubre y diciembre de 2020, siendo su última modificación en julio de 2021.</w:t>
      </w:r>
    </w:p>
    <w:p w14:paraId="2E16D39C" w14:textId="77777777" w:rsidR="009D5C48" w:rsidRPr="00C16E7C" w:rsidRDefault="009D5C48" w:rsidP="00C16E7C">
      <w:pPr>
        <w:pStyle w:val="TEXTONORMAL"/>
      </w:pPr>
      <w:r w:rsidRPr="00C16E7C">
        <w:t>Las funciones y atribuciones del Instituto se rigen por lo establecido en la propia LSS y se complementa con la siguiente normatividad:</w:t>
      </w:r>
    </w:p>
    <w:p w14:paraId="3CC0D346" w14:textId="77777777" w:rsidR="009D5C48" w:rsidRPr="00C16E7C" w:rsidRDefault="009D5C48" w:rsidP="003F2A12">
      <w:pPr>
        <w:pStyle w:val="TEXTONORMAL"/>
        <w:numPr>
          <w:ilvl w:val="0"/>
          <w:numId w:val="54"/>
        </w:numPr>
        <w:ind w:left="1305" w:hanging="284"/>
        <w:rPr>
          <w:lang w:val="es-MX"/>
        </w:rPr>
      </w:pPr>
      <w:r w:rsidRPr="00C16E7C">
        <w:rPr>
          <w:lang w:val="es-MX"/>
        </w:rPr>
        <w:t xml:space="preserve">Constitución Política de los Estados Unidos Mexicanos. </w:t>
      </w:r>
    </w:p>
    <w:p w14:paraId="4C7608D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Transparencia y Acceso a la Información Pública. </w:t>
      </w:r>
    </w:p>
    <w:p w14:paraId="673DBC8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Responsabilidades Administrativas. </w:t>
      </w:r>
    </w:p>
    <w:p w14:paraId="467574A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Amparo, Reglamentaria de los Artículos 103 y 107 de la Constitución Política de los Estados Unidos Mexicanos. </w:t>
      </w:r>
    </w:p>
    <w:p w14:paraId="2308478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Fiscalización y Rendición de Cuentas de la Federación. </w:t>
      </w:r>
    </w:p>
    <w:p w14:paraId="0FAD4710" w14:textId="77777777" w:rsidR="009D5C48" w:rsidRPr="00C16E7C" w:rsidRDefault="009D5C48" w:rsidP="003F2A12">
      <w:pPr>
        <w:pStyle w:val="TEXTONORMAL"/>
        <w:numPr>
          <w:ilvl w:val="0"/>
          <w:numId w:val="54"/>
        </w:numPr>
        <w:ind w:left="1305" w:hanging="284"/>
        <w:rPr>
          <w:lang w:val="es-MX"/>
        </w:rPr>
      </w:pPr>
      <w:r w:rsidRPr="00C16E7C">
        <w:rPr>
          <w:lang w:val="es-MX"/>
        </w:rPr>
        <w:t>Ley de los Sistemas de Ahorro para el Retiro.</w:t>
      </w:r>
    </w:p>
    <w:p w14:paraId="058BE0B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Planeación. </w:t>
      </w:r>
    </w:p>
    <w:p w14:paraId="6237C2C3"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Sobre la Renta. </w:t>
      </w:r>
    </w:p>
    <w:p w14:paraId="1037923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Fomento a las actividades realizadas por Organizaciones de la Sociedad Civil. </w:t>
      </w:r>
    </w:p>
    <w:p w14:paraId="3EF1775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las Entidades Paraestatales. </w:t>
      </w:r>
    </w:p>
    <w:p w14:paraId="507B136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Presupuesto y Responsabilidad Hacendaria. </w:t>
      </w:r>
    </w:p>
    <w:p w14:paraId="1CA41A0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Contencioso Administrativo. </w:t>
      </w:r>
    </w:p>
    <w:p w14:paraId="5E866C0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Responsabilidades de los Servidores Públicos. </w:t>
      </w:r>
    </w:p>
    <w:p w14:paraId="65EC512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para Prevenir y Eliminar la Discriminación. </w:t>
      </w:r>
    </w:p>
    <w:p w14:paraId="35F2B0A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Bienes Nacionales. </w:t>
      </w:r>
    </w:p>
    <w:p w14:paraId="3A7065F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Prestación de Servicios para la Atención, Cuidado y Desarrollo Integral Infantil. </w:t>
      </w:r>
    </w:p>
    <w:p w14:paraId="05057AE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Títulos y Operaciones de Crédito. </w:t>
      </w:r>
    </w:p>
    <w:p w14:paraId="3E4870D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 la Administración Pública Federal. </w:t>
      </w:r>
    </w:p>
    <w:p w14:paraId="7C1CE2A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Tribunal Federal de Justicia Administrativa. </w:t>
      </w:r>
    </w:p>
    <w:p w14:paraId="7B3033F9"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del Sistema Nacional Anticorrupción. </w:t>
      </w:r>
    </w:p>
    <w:p w14:paraId="0346DBD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Agraria. </w:t>
      </w:r>
    </w:p>
    <w:p w14:paraId="506D38E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Concursos Mercantiles. </w:t>
      </w:r>
    </w:p>
    <w:p w14:paraId="092CAF5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Acceso de las Mujeres a una Vida Libre de Violencia. </w:t>
      </w:r>
    </w:p>
    <w:p w14:paraId="124E862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Víctimas. </w:t>
      </w:r>
    </w:p>
    <w:p w14:paraId="697D43D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Mejora Regulatoria. </w:t>
      </w:r>
    </w:p>
    <w:p w14:paraId="05A02F0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Austeridad Republicana. </w:t>
      </w:r>
    </w:p>
    <w:p w14:paraId="6D38E18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Remuneraciones de los Servidores Públicos, Reglamentaria de los artículos 75 y 127 de la Constitución Política de los Estados Unidos Mexicanos. </w:t>
      </w:r>
    </w:p>
    <w:p w14:paraId="3A31DF66" w14:textId="77777777" w:rsidR="009D5C48" w:rsidRPr="00C16E7C" w:rsidRDefault="009D5C48" w:rsidP="003F2A12">
      <w:pPr>
        <w:pStyle w:val="TEXTONORMAL"/>
        <w:numPr>
          <w:ilvl w:val="0"/>
          <w:numId w:val="54"/>
        </w:numPr>
        <w:ind w:left="1305" w:hanging="284"/>
        <w:rPr>
          <w:lang w:val="es-MX"/>
        </w:rPr>
      </w:pPr>
      <w:r w:rsidRPr="00C16E7C">
        <w:rPr>
          <w:lang w:val="es-MX"/>
        </w:rPr>
        <w:t xml:space="preserve">Presupuesto de Egresos de la Federación para el Ejercicio Fiscal 2020. </w:t>
      </w:r>
    </w:p>
    <w:p w14:paraId="26542B9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Adquisiciones, Arrendamientos y Servicios del Sector Público. </w:t>
      </w:r>
    </w:p>
    <w:p w14:paraId="06190A0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Coordinación Fiscal. </w:t>
      </w:r>
    </w:p>
    <w:p w14:paraId="09A2CE5E"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la Comisión Nacional de los Derechos Humanos. </w:t>
      </w:r>
    </w:p>
    <w:p w14:paraId="45D3B07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Obras Públicas y Servicios Relacionados con las Mismas. </w:t>
      </w:r>
    </w:p>
    <w:p w14:paraId="652651B2"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al Valor Agregado. </w:t>
      </w:r>
    </w:p>
    <w:p w14:paraId="0A1912E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del Fondo Nacional de la Vivienda para los Trabajadores. </w:t>
      </w:r>
    </w:p>
    <w:p w14:paraId="7EF6D75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Tesorería de la Federación. </w:t>
      </w:r>
    </w:p>
    <w:p w14:paraId="5EB04A5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Derechos. </w:t>
      </w:r>
    </w:p>
    <w:p w14:paraId="2C210A1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Instituciones de Seguros y de Fianzas. </w:t>
      </w:r>
    </w:p>
    <w:p w14:paraId="0A8C81A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los Derechos del Contribuyente. </w:t>
      </w:r>
    </w:p>
    <w:p w14:paraId="4B55A13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Administrativo. </w:t>
      </w:r>
    </w:p>
    <w:p w14:paraId="2F17209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 Patrimonial del Estado. </w:t>
      </w:r>
    </w:p>
    <w:p w14:paraId="2548FCC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del Trabajo. </w:t>
      </w:r>
    </w:p>
    <w:p w14:paraId="7C15DDD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Infraestructura de la Calidad. </w:t>
      </w:r>
    </w:p>
    <w:p w14:paraId="6DEC7DD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Contabilidad Gubernamental. </w:t>
      </w:r>
    </w:p>
    <w:p w14:paraId="24A54B6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Salud. </w:t>
      </w:r>
    </w:p>
    <w:p w14:paraId="744A3FE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Educación. </w:t>
      </w:r>
    </w:p>
    <w:p w14:paraId="5F815A9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Poder Judicial de la Federación. </w:t>
      </w:r>
    </w:p>
    <w:p w14:paraId="007CB05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Transparencia y Acceso a la Información Pública. </w:t>
      </w:r>
    </w:p>
    <w:p w14:paraId="4A84D10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Protección de Datos Personales en Posesión de Sujetos Obligados. </w:t>
      </w:r>
    </w:p>
    <w:p w14:paraId="64536C2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Inclusión de las Personas con Discapacidad. </w:t>
      </w:r>
    </w:p>
    <w:p w14:paraId="6F6825F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Nacional de las Mujeres. </w:t>
      </w:r>
    </w:p>
    <w:p w14:paraId="0984ADB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Igualdad entre Mujeres y Hombres. </w:t>
      </w:r>
    </w:p>
    <w:p w14:paraId="42087E6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Archivos. </w:t>
      </w:r>
    </w:p>
    <w:p w14:paraId="5AE4F440"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de Comercio. </w:t>
      </w:r>
    </w:p>
    <w:p w14:paraId="1C7B311D"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Nacional de Procedimientos Penales. </w:t>
      </w:r>
    </w:p>
    <w:p w14:paraId="3D17F4A9"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Penal Federal. </w:t>
      </w:r>
    </w:p>
    <w:p w14:paraId="5B11CA0A"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Civil Federal. </w:t>
      </w:r>
    </w:p>
    <w:p w14:paraId="5480C8E2"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Federal de Procedimientos Civiles. </w:t>
      </w:r>
    </w:p>
    <w:p w14:paraId="6BA76B7A"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Fiscal de la Federación. </w:t>
      </w:r>
    </w:p>
    <w:p w14:paraId="10D31E4F"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Reglamento de la Ley de Adquisiciones, Arrendamientos y Servicios del Sector Público. </w:t>
      </w:r>
    </w:p>
    <w:p w14:paraId="0E3E8143"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Obras Públicas y Servicios Relacionados con las mismas. </w:t>
      </w:r>
    </w:p>
    <w:p w14:paraId="0EF1A28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al Valor Agregado. </w:t>
      </w:r>
    </w:p>
    <w:p w14:paraId="66F52846"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Sobre la Renta. </w:t>
      </w:r>
    </w:p>
    <w:p w14:paraId="661702B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Afiliación, Clasificación de Empresas, Recaudación y Fiscalización. </w:t>
      </w:r>
    </w:p>
    <w:p w14:paraId="1BCFCE92"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administración y enajenación de bienes adjudicados con motivo de la aplicación del procedimiento administrativo de ejecución. </w:t>
      </w:r>
    </w:p>
    <w:p w14:paraId="0E347156"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Acceso de las Mujeres a una Vida Libre de Violencia. </w:t>
      </w:r>
    </w:p>
    <w:p w14:paraId="0CECAFDC"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las Entidades Paraestatales. </w:t>
      </w:r>
    </w:p>
    <w:p w14:paraId="6F234690"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Presupuesto y Responsabilidad Hacendaria. </w:t>
      </w:r>
    </w:p>
    <w:p w14:paraId="3756F2A2"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Transparencia y Acceso a la Información Pública Gubernamental. </w:t>
      </w:r>
    </w:p>
    <w:p w14:paraId="1DA6EF1F"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para la Inclusión de las Personas con Discapacidad. </w:t>
      </w:r>
    </w:p>
    <w:p w14:paraId="28302991"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Prestación de Servicios de Atención Médica. </w:t>
      </w:r>
    </w:p>
    <w:p w14:paraId="5AB7671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Archivos. </w:t>
      </w:r>
    </w:p>
    <w:p w14:paraId="48FA6E70"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Protección Social en Salud. </w:t>
      </w:r>
    </w:p>
    <w:p w14:paraId="4A6BA86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Prestaciones Médicas del Instituto Mexicano del Seguro Social. </w:t>
      </w:r>
    </w:p>
    <w:p w14:paraId="1F28A94D"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Trasplantes. </w:t>
      </w:r>
    </w:p>
    <w:p w14:paraId="75F3AAB0"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Código Fiscal de la Federación. </w:t>
      </w:r>
    </w:p>
    <w:p w14:paraId="1FE8193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Prestación de Servicios para la Atención, Cuidado y Desarrollo Integral Infantil. </w:t>
      </w:r>
    </w:p>
    <w:p w14:paraId="261C8024"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Seguro Social Obligatorio para los Trabajadores de la Construcción por Obra o Tiempo Determinado. </w:t>
      </w:r>
    </w:p>
    <w:p w14:paraId="2E6CB627"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Interior del Instituto Mexicano del Seguro Social. </w:t>
      </w:r>
    </w:p>
    <w:p w14:paraId="1B94BE2D"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Control Sanitario de la Disposición de Órganos, Tejidos y Cadáveres de Seres Humanos. </w:t>
      </w:r>
    </w:p>
    <w:p w14:paraId="34508D2E"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Tesorería de la Federación. </w:t>
      </w:r>
    </w:p>
    <w:p w14:paraId="1144E678"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Sobre Metrología y Normalización. </w:t>
      </w:r>
    </w:p>
    <w:p w14:paraId="1B4A4B62"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Víctimas. </w:t>
      </w:r>
    </w:p>
    <w:p w14:paraId="0C3AB483" w14:textId="77777777" w:rsidR="001059B2" w:rsidRPr="00AE7030" w:rsidRDefault="009D5C48" w:rsidP="003F2A12">
      <w:pPr>
        <w:pStyle w:val="TEXTONORMAL"/>
        <w:numPr>
          <w:ilvl w:val="0"/>
          <w:numId w:val="54"/>
        </w:numPr>
        <w:ind w:left="1305" w:hanging="284"/>
        <w:rPr>
          <w:lang w:val="es-MX"/>
        </w:rPr>
      </w:pPr>
      <w:r w:rsidRPr="00C16E7C">
        <w:rPr>
          <w:lang w:val="es-MX"/>
        </w:rPr>
        <w:lastRenderedPageBreak/>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w:t>
      </w:r>
      <w:r w:rsidR="00AE7030">
        <w:rPr>
          <w:lang w:val="es-MX"/>
        </w:rPr>
        <w:t xml:space="preserve"> Contingencias y Financiamiento</w:t>
      </w:r>
    </w:p>
    <w:p w14:paraId="432BCB20" w14:textId="77777777" w:rsidR="009D5C48" w:rsidRPr="00C16E7C" w:rsidRDefault="009D5C48" w:rsidP="00C16E7C">
      <w:pPr>
        <w:pStyle w:val="TEXTONORMAL"/>
      </w:pPr>
      <w:r w:rsidRPr="00C16E7C">
        <w:t>Así como de:</w:t>
      </w:r>
    </w:p>
    <w:p w14:paraId="021C53AF" w14:textId="77777777" w:rsidR="009D5C48" w:rsidRPr="00C16E7C" w:rsidRDefault="009D5C48" w:rsidP="003F2A12">
      <w:pPr>
        <w:pStyle w:val="TEXTONORMAL"/>
        <w:numPr>
          <w:ilvl w:val="0"/>
          <w:numId w:val="54"/>
        </w:numPr>
        <w:ind w:left="1305" w:hanging="284"/>
        <w:rPr>
          <w:lang w:val="es-MX"/>
        </w:rPr>
      </w:pPr>
      <w:r w:rsidRPr="00C16E7C">
        <w:rPr>
          <w:lang w:val="es-MX"/>
        </w:rPr>
        <w:t>Acuerdos del H. Consejo Técnico</w:t>
      </w:r>
    </w:p>
    <w:p w14:paraId="13C317E0" w14:textId="77777777" w:rsidR="009D5C48" w:rsidRPr="00C16E7C" w:rsidRDefault="009D5C48" w:rsidP="003F2A12">
      <w:pPr>
        <w:pStyle w:val="TEXTONORMAL"/>
        <w:numPr>
          <w:ilvl w:val="0"/>
          <w:numId w:val="54"/>
        </w:numPr>
        <w:ind w:left="1305" w:hanging="284"/>
        <w:rPr>
          <w:lang w:val="es-MX"/>
        </w:rPr>
      </w:pPr>
      <w:r w:rsidRPr="00C16E7C">
        <w:rPr>
          <w:lang w:val="es-MX"/>
        </w:rPr>
        <w:t>Decretos del Gobierno Federal</w:t>
      </w:r>
    </w:p>
    <w:p w14:paraId="3E77A1CD" w14:textId="77777777" w:rsidR="009D5C48" w:rsidRPr="00C16E7C" w:rsidRDefault="009D5C48" w:rsidP="003F2A12">
      <w:pPr>
        <w:pStyle w:val="TEXTONORMAL"/>
        <w:numPr>
          <w:ilvl w:val="0"/>
          <w:numId w:val="54"/>
        </w:numPr>
        <w:ind w:left="1305" w:hanging="284"/>
        <w:rPr>
          <w:lang w:val="es-MX"/>
        </w:rPr>
      </w:pPr>
      <w:r w:rsidRPr="00C16E7C">
        <w:rPr>
          <w:lang w:val="es-MX"/>
        </w:rPr>
        <w:t>Marco conceptual de Contabilidad Gubernamental</w:t>
      </w:r>
    </w:p>
    <w:p w14:paraId="0E871383" w14:textId="77777777" w:rsidR="009D5C48" w:rsidRPr="00C16E7C" w:rsidRDefault="009D5C48" w:rsidP="003F2A12">
      <w:pPr>
        <w:pStyle w:val="TEXTONORMAL"/>
        <w:numPr>
          <w:ilvl w:val="0"/>
          <w:numId w:val="54"/>
        </w:numPr>
        <w:ind w:left="1305" w:hanging="284"/>
        <w:rPr>
          <w:lang w:val="es-MX"/>
        </w:rPr>
      </w:pPr>
      <w:r w:rsidRPr="00C16E7C">
        <w:rPr>
          <w:lang w:val="es-MX"/>
        </w:rPr>
        <w:t>Manual de Contabilidad Gubernamental para el Sector Paraestatal Federal</w:t>
      </w:r>
    </w:p>
    <w:p w14:paraId="6F043A7D" w14:textId="77777777" w:rsidR="009D5C48" w:rsidRPr="00B91C41" w:rsidRDefault="004C1A21" w:rsidP="003F2A12">
      <w:pPr>
        <w:pStyle w:val="TEXTONORMAL"/>
        <w:numPr>
          <w:ilvl w:val="0"/>
          <w:numId w:val="54"/>
        </w:numPr>
        <w:ind w:left="1305" w:hanging="284"/>
        <w:rPr>
          <w:lang w:val="es-MX"/>
        </w:rPr>
      </w:pPr>
      <w:r>
        <w:rPr>
          <w:lang w:val="es-MX"/>
        </w:rPr>
        <w:t>Lineamientos C</w:t>
      </w:r>
      <w:r w:rsidR="00B91C41" w:rsidRPr="00B91C41">
        <w:rPr>
          <w:lang w:val="es-MX"/>
        </w:rPr>
        <w:t>ontables del MCGSPF</w:t>
      </w:r>
    </w:p>
    <w:p w14:paraId="1044CC91" w14:textId="77777777" w:rsidR="009D5C48" w:rsidRPr="00C16E7C" w:rsidRDefault="009D5C48" w:rsidP="003F2A12">
      <w:pPr>
        <w:pStyle w:val="TEXTONORMAL"/>
        <w:numPr>
          <w:ilvl w:val="0"/>
          <w:numId w:val="54"/>
        </w:numPr>
        <w:ind w:left="1305" w:hanging="284"/>
        <w:rPr>
          <w:lang w:val="es-MX"/>
        </w:rPr>
      </w:pPr>
      <w:r w:rsidRPr="00C16E7C">
        <w:rPr>
          <w:lang w:val="es-MX"/>
        </w:rPr>
        <w:t>Normas de Información Financiera del Consejo Mexicano de Normas de Información Financiera, A. C.</w:t>
      </w:r>
    </w:p>
    <w:p w14:paraId="3A689398" w14:textId="77777777" w:rsidR="009D5C48" w:rsidRPr="00C16E7C" w:rsidRDefault="009D5C48" w:rsidP="00C16E7C">
      <w:pPr>
        <w:pStyle w:val="TEXTONORMAL"/>
      </w:pPr>
      <w:r w:rsidRPr="00C16E7C">
        <w:t>Se resaltan los siguientes puntos mencionados en la LSS:</w:t>
      </w:r>
    </w:p>
    <w:p w14:paraId="58F2FB8B" w14:textId="77777777" w:rsidR="009D5C48" w:rsidRPr="00BF0B73" w:rsidRDefault="009D5C48" w:rsidP="003F2A12">
      <w:pPr>
        <w:pStyle w:val="VIETAFLECHA"/>
        <w:numPr>
          <w:ilvl w:val="0"/>
          <w:numId w:val="56"/>
        </w:numPr>
        <w:ind w:left="357" w:hanging="357"/>
      </w:pPr>
      <w:r w:rsidRPr="00BF0B73">
        <w:t>Ramos de seguro</w:t>
      </w:r>
    </w:p>
    <w:p w14:paraId="7CA8EEB7" w14:textId="77777777" w:rsidR="009D5C48" w:rsidRPr="00C16E7C" w:rsidRDefault="009D5C48" w:rsidP="00C16E7C">
      <w:pPr>
        <w:pStyle w:val="TEXTONORMAL"/>
        <w:rPr>
          <w:lang w:val="es-MX"/>
        </w:rPr>
      </w:pPr>
      <w:r w:rsidRPr="00C16E7C">
        <w:rPr>
          <w:lang w:val="es-MX"/>
        </w:rPr>
        <w:t xml:space="preserve">El Seguro Social comprende: </w:t>
      </w:r>
    </w:p>
    <w:p w14:paraId="77DADFE8" w14:textId="77777777" w:rsidR="009D5C48" w:rsidRPr="00C16E7C" w:rsidRDefault="009D5C48" w:rsidP="003F2A12">
      <w:pPr>
        <w:pStyle w:val="TEXTONORMAL"/>
        <w:numPr>
          <w:ilvl w:val="0"/>
          <w:numId w:val="57"/>
        </w:numPr>
        <w:rPr>
          <w:lang w:val="es-MX"/>
        </w:rPr>
      </w:pPr>
      <w:r w:rsidRPr="00C16E7C">
        <w:rPr>
          <w:lang w:val="es-MX"/>
        </w:rPr>
        <w:t xml:space="preserve">El régimen obligatorio, y </w:t>
      </w:r>
    </w:p>
    <w:p w14:paraId="22CCCA2F" w14:textId="77777777" w:rsidR="009D5C48" w:rsidRPr="00C16E7C" w:rsidRDefault="009D5C48" w:rsidP="003F2A12">
      <w:pPr>
        <w:pStyle w:val="TEXTONORMAL"/>
        <w:numPr>
          <w:ilvl w:val="0"/>
          <w:numId w:val="57"/>
        </w:numPr>
        <w:rPr>
          <w:lang w:val="es-MX"/>
        </w:rPr>
      </w:pPr>
      <w:r w:rsidRPr="00C16E7C">
        <w:rPr>
          <w:lang w:val="es-MX"/>
        </w:rPr>
        <w:t>El régimen voluntario.</w:t>
      </w:r>
    </w:p>
    <w:p w14:paraId="25752D24" w14:textId="77777777" w:rsidR="009D5C48" w:rsidRPr="00C16E7C" w:rsidRDefault="009D5C48" w:rsidP="00C16E7C">
      <w:pPr>
        <w:pStyle w:val="TEXTONORMAL"/>
        <w:rPr>
          <w:lang w:val="es-MX"/>
        </w:rPr>
      </w:pPr>
      <w:r w:rsidRPr="00C16E7C">
        <w:rPr>
          <w:lang w:val="es-MX"/>
        </w:rPr>
        <w:t xml:space="preserve">El régimen obligatorio comprende los seguros de: </w:t>
      </w:r>
    </w:p>
    <w:p w14:paraId="1B517D2C" w14:textId="77777777" w:rsidR="009D5C48" w:rsidRPr="00C16E7C" w:rsidRDefault="009D5C48" w:rsidP="003F2A12">
      <w:pPr>
        <w:pStyle w:val="TEXTONORMAL"/>
        <w:numPr>
          <w:ilvl w:val="0"/>
          <w:numId w:val="58"/>
        </w:numPr>
        <w:ind w:left="998" w:hanging="284"/>
        <w:rPr>
          <w:lang w:val="es-MX"/>
        </w:rPr>
      </w:pPr>
      <w:r w:rsidRPr="00C16E7C">
        <w:rPr>
          <w:lang w:val="es-MX"/>
        </w:rPr>
        <w:t xml:space="preserve">Riesgos de trabajo; </w:t>
      </w:r>
    </w:p>
    <w:p w14:paraId="203BB237" w14:textId="77777777" w:rsidR="009D5C48" w:rsidRPr="00C16E7C" w:rsidRDefault="009D5C48" w:rsidP="003F2A12">
      <w:pPr>
        <w:pStyle w:val="TEXTONORMAL"/>
        <w:numPr>
          <w:ilvl w:val="0"/>
          <w:numId w:val="58"/>
        </w:numPr>
        <w:ind w:left="998" w:hanging="284"/>
        <w:rPr>
          <w:lang w:val="es-MX"/>
        </w:rPr>
      </w:pPr>
      <w:r w:rsidRPr="00C16E7C">
        <w:rPr>
          <w:lang w:val="es-MX"/>
        </w:rPr>
        <w:t xml:space="preserve">Enfermedad y maternidad; </w:t>
      </w:r>
    </w:p>
    <w:p w14:paraId="2D30A86C" w14:textId="77777777" w:rsidR="009D5C48" w:rsidRPr="00C16E7C" w:rsidRDefault="009D5C48" w:rsidP="003F2A12">
      <w:pPr>
        <w:pStyle w:val="TEXTONORMAL"/>
        <w:numPr>
          <w:ilvl w:val="0"/>
          <w:numId w:val="58"/>
        </w:numPr>
        <w:ind w:left="998" w:hanging="284"/>
        <w:rPr>
          <w:lang w:val="es-MX"/>
        </w:rPr>
      </w:pPr>
      <w:r w:rsidRPr="00C16E7C">
        <w:rPr>
          <w:lang w:val="es-MX"/>
        </w:rPr>
        <w:t xml:space="preserve">Invalidez y vida; </w:t>
      </w:r>
    </w:p>
    <w:p w14:paraId="3EB9F2CE" w14:textId="77777777" w:rsidR="009D5C48" w:rsidRPr="00C16E7C" w:rsidRDefault="009D5C48" w:rsidP="003F2A12">
      <w:pPr>
        <w:pStyle w:val="TEXTONORMAL"/>
        <w:numPr>
          <w:ilvl w:val="0"/>
          <w:numId w:val="58"/>
        </w:numPr>
        <w:ind w:left="998" w:hanging="284"/>
        <w:rPr>
          <w:lang w:val="es-MX"/>
        </w:rPr>
      </w:pPr>
      <w:r w:rsidRPr="00C16E7C">
        <w:rPr>
          <w:lang w:val="es-MX"/>
        </w:rPr>
        <w:t xml:space="preserve">Retiro, cesantía en edad avanzada y vejez, y </w:t>
      </w:r>
    </w:p>
    <w:p w14:paraId="7EA48BD1" w14:textId="77777777" w:rsidR="009D5C48" w:rsidRPr="00C16E7C" w:rsidRDefault="009D5C48" w:rsidP="003F2A12">
      <w:pPr>
        <w:pStyle w:val="TEXTONORMAL"/>
        <w:numPr>
          <w:ilvl w:val="0"/>
          <w:numId w:val="58"/>
        </w:numPr>
        <w:ind w:left="998" w:hanging="284"/>
        <w:rPr>
          <w:lang w:val="es-MX"/>
        </w:rPr>
      </w:pPr>
      <w:r w:rsidRPr="00C16E7C">
        <w:rPr>
          <w:lang w:val="es-MX"/>
        </w:rPr>
        <w:t>Guarderías y prestaciones sociales.</w:t>
      </w:r>
    </w:p>
    <w:p w14:paraId="0994DFF8" w14:textId="77777777" w:rsidR="009D5C48" w:rsidRPr="00C16E7C" w:rsidRDefault="009D5C48" w:rsidP="00C16E7C">
      <w:pPr>
        <w:pStyle w:val="TEXTONORMAL"/>
        <w:rPr>
          <w:lang w:val="es-MX"/>
        </w:rPr>
      </w:pPr>
      <w:r w:rsidRPr="00C16E7C">
        <w:rPr>
          <w:lang w:val="es-MX"/>
        </w:rPr>
        <w:t>La incorporación voluntaria en el régimen obligatorio se realizará por convenio y considera las prestaciones en especie y en dinero de los ramos de seguro, establecidos en el esquema de aseguramiento previsto para los sujetos señalados en el artículo 13 de la LSS.</w:t>
      </w:r>
    </w:p>
    <w:p w14:paraId="2F60D721" w14:textId="77777777" w:rsidR="009D5C48" w:rsidRPr="00C16E7C" w:rsidRDefault="009D5C48" w:rsidP="00C16E7C">
      <w:pPr>
        <w:pStyle w:val="TEXTONORMAL"/>
        <w:rPr>
          <w:lang w:val="es-MX"/>
        </w:rPr>
      </w:pPr>
      <w:r w:rsidRPr="00C16E7C">
        <w:rPr>
          <w:lang w:val="es-MX"/>
        </w:rPr>
        <w:t>El régimen voluntario, previsto en el Título Tercero de la LSS, comprende los seguros de:</w:t>
      </w:r>
    </w:p>
    <w:p w14:paraId="3129E302" w14:textId="77777777" w:rsidR="009D5C48" w:rsidRPr="00C16E7C" w:rsidRDefault="009D5C48" w:rsidP="003F2A12">
      <w:pPr>
        <w:pStyle w:val="TEXTONORMAL"/>
        <w:numPr>
          <w:ilvl w:val="0"/>
          <w:numId w:val="58"/>
        </w:numPr>
        <w:ind w:left="998" w:hanging="284"/>
        <w:rPr>
          <w:lang w:val="es-MX"/>
        </w:rPr>
      </w:pPr>
      <w:r w:rsidRPr="00C16E7C">
        <w:rPr>
          <w:lang w:val="es-MX"/>
        </w:rPr>
        <w:t>Salud para la Familia;</w:t>
      </w:r>
    </w:p>
    <w:p w14:paraId="2EF68B49" w14:textId="77777777" w:rsidR="009D5C48" w:rsidRPr="00C16E7C" w:rsidRDefault="009D5C48" w:rsidP="003F2A12">
      <w:pPr>
        <w:pStyle w:val="TEXTONORMAL"/>
        <w:numPr>
          <w:ilvl w:val="0"/>
          <w:numId w:val="58"/>
        </w:numPr>
        <w:ind w:left="998" w:hanging="284"/>
        <w:rPr>
          <w:lang w:val="es-MX"/>
        </w:rPr>
      </w:pPr>
      <w:r w:rsidRPr="00C16E7C">
        <w:rPr>
          <w:lang w:val="es-MX"/>
        </w:rPr>
        <w:t>Adicionales, y</w:t>
      </w:r>
    </w:p>
    <w:p w14:paraId="434A34E7" w14:textId="77777777" w:rsidR="00AE7030" w:rsidRPr="00106A34" w:rsidRDefault="009D5C48" w:rsidP="00106A34">
      <w:pPr>
        <w:pStyle w:val="TEXTONORMAL"/>
        <w:numPr>
          <w:ilvl w:val="0"/>
          <w:numId w:val="58"/>
        </w:numPr>
        <w:ind w:left="998" w:hanging="284"/>
        <w:rPr>
          <w:lang w:val="es-MX"/>
        </w:rPr>
      </w:pPr>
      <w:r w:rsidRPr="00C16E7C">
        <w:rPr>
          <w:lang w:val="es-MX"/>
        </w:rPr>
        <w:t>Otros.</w:t>
      </w:r>
    </w:p>
    <w:p w14:paraId="10DC6367" w14:textId="77777777" w:rsidR="009D5C48" w:rsidRPr="00BF0B73" w:rsidRDefault="009D5C48" w:rsidP="003F2A12">
      <w:pPr>
        <w:pStyle w:val="VIETAFLECHA"/>
        <w:numPr>
          <w:ilvl w:val="0"/>
          <w:numId w:val="56"/>
        </w:numPr>
        <w:ind w:left="357" w:hanging="357"/>
      </w:pPr>
      <w:r w:rsidRPr="00BF0B73">
        <w:lastRenderedPageBreak/>
        <w:t>Régimen obligatorio</w:t>
      </w:r>
    </w:p>
    <w:p w14:paraId="71DE25F4" w14:textId="77777777" w:rsidR="009D5C48" w:rsidRPr="001872A2" w:rsidRDefault="009D5C48" w:rsidP="003F2A12">
      <w:pPr>
        <w:pStyle w:val="TEXTONORMAL"/>
        <w:numPr>
          <w:ilvl w:val="0"/>
          <w:numId w:val="59"/>
        </w:numPr>
        <w:rPr>
          <w:lang w:val="es-MX"/>
        </w:rPr>
      </w:pPr>
      <w:r w:rsidRPr="001872A2">
        <w:rPr>
          <w:lang w:val="es-MX"/>
        </w:rPr>
        <w:t>Seguro de riesgos de trabajo</w:t>
      </w:r>
    </w:p>
    <w:p w14:paraId="7263030A" w14:textId="77777777" w:rsidR="009D5C48" w:rsidRPr="00C16E7C" w:rsidRDefault="009D5C48" w:rsidP="00C16E7C">
      <w:pPr>
        <w:pStyle w:val="TEXTONORMAL"/>
      </w:pPr>
      <w:r w:rsidRPr="00C16E7C">
        <w:t xml:space="preserve">Las cuotas por el seguro de riesgos de </w:t>
      </w:r>
      <w:r w:rsidR="00106A34" w:rsidRPr="00C16E7C">
        <w:t>trabajo</w:t>
      </w:r>
      <w:r w:rsidRPr="00C16E7C">
        <w:t xml:space="preserve">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14:paraId="5B788B25" w14:textId="77777777" w:rsidR="009D5C48" w:rsidRPr="00C16E7C" w:rsidRDefault="009D5C48" w:rsidP="00C16E7C">
      <w:pPr>
        <w:pStyle w:val="TEXTONORMAL"/>
      </w:pPr>
      <w:r w:rsidRPr="00C16E7C">
        <w:t>La prima de este seguro, revisable anualmente, se determina multiplicando la siniestralidad de la empresa por un factor de prima y al producto se le sumará el 0.005. El resultado será la prima por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14:paraId="3A7EF5AA" w14:textId="77777777" w:rsidR="009D5C48" w:rsidRPr="001872A2" w:rsidRDefault="009D5C48" w:rsidP="003F2A12">
      <w:pPr>
        <w:pStyle w:val="TEXTONORMAL"/>
        <w:numPr>
          <w:ilvl w:val="0"/>
          <w:numId w:val="59"/>
        </w:numPr>
        <w:rPr>
          <w:lang w:val="es-MX"/>
        </w:rPr>
      </w:pPr>
      <w:r w:rsidRPr="001872A2">
        <w:rPr>
          <w:lang w:val="es-MX"/>
        </w:rPr>
        <w:t>Seguro de enfermedad y maternidad</w:t>
      </w:r>
    </w:p>
    <w:p w14:paraId="33A351D3" w14:textId="77777777" w:rsidR="009D5C48" w:rsidRPr="00C16E7C" w:rsidRDefault="009D5C48" w:rsidP="00C16E7C">
      <w:pPr>
        <w:pStyle w:val="TEXTONORMAL"/>
      </w:pPr>
      <w:r w:rsidRPr="00C16E7C">
        <w:t xml:space="preserve">Los patrones, los trabajadores y el Estado aportan al Instituto los recursos que se requieren para la operación de este seguro, que amparan al trabajador asegurado, al pensionado y a sus beneficiarios, estos gozan de la asistencia </w:t>
      </w:r>
      <w:r w:rsidR="004C4C89" w:rsidRPr="00C16E7C">
        <w:t>médico-quirúrgica</w:t>
      </w:r>
      <w:r w:rsidRPr="00C16E7C">
        <w:t>, farmacéutica y hospitalaria y de la asistencia obstétrica y ayuda de lactancia en los casos de maternidad. Los subsidios en efectivo se pagan a los asegurados bajo ciertas condiciones.</w:t>
      </w:r>
    </w:p>
    <w:p w14:paraId="1B86E80B" w14:textId="77777777" w:rsidR="009D5C48" w:rsidRPr="00C16E7C" w:rsidRDefault="009D5C48" w:rsidP="00C16E7C">
      <w:pPr>
        <w:pStyle w:val="TEXTONORMAL"/>
      </w:pPr>
      <w:r w:rsidRPr="00C16E7C">
        <w:t>El financiamiento de este ramo para las prestaciones en dinero y en especie, así como los gastos administrativos, provienen de porcentajes diferenciales sobre los salarios base de cotización a cargo tanto de trabajadores, patrones y el Estado, pagaderos mensualmente.</w:t>
      </w:r>
    </w:p>
    <w:p w14:paraId="2180A00D" w14:textId="77777777" w:rsidR="009D5C48" w:rsidRPr="001872A2" w:rsidRDefault="009D5C48" w:rsidP="003F2A12">
      <w:pPr>
        <w:pStyle w:val="TEXTONORMAL"/>
        <w:numPr>
          <w:ilvl w:val="0"/>
          <w:numId w:val="59"/>
        </w:numPr>
        <w:rPr>
          <w:lang w:val="es-MX"/>
        </w:rPr>
      </w:pPr>
      <w:r w:rsidRPr="001872A2">
        <w:rPr>
          <w:lang w:val="es-MX"/>
        </w:rPr>
        <w:t>Seguro de invalidez y vida</w:t>
      </w:r>
    </w:p>
    <w:p w14:paraId="5E88D316" w14:textId="77777777" w:rsidR="009D5C48" w:rsidRPr="00C16E7C" w:rsidRDefault="009D5C48" w:rsidP="00C16E7C">
      <w:pPr>
        <w:pStyle w:val="TEXTONORMAL"/>
      </w:pPr>
      <w:r w:rsidRPr="00C16E7C">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ascendencia, así como; asistencia médica y ayuda asistencial. Para enfrentar las pensiones, se contrata con una institución de seguros según correspondan, los seguros de renta vitalicia y de sobrevivencia con la aportación suficiente por parte del Instituto menos los recursos acumulados en la cuenta individual del asegurado.</w:t>
      </w:r>
    </w:p>
    <w:p w14:paraId="4216CDF5" w14:textId="77777777" w:rsidR="009D5C48" w:rsidRDefault="009D5C48" w:rsidP="00C16E7C">
      <w:pPr>
        <w:pStyle w:val="TEXTONORMAL"/>
      </w:pPr>
      <w:r w:rsidRPr="00C16E7C">
        <w:t>Para financiar este ramo tanto de prestaciones, como de gastos administrativos y constitución de reservas técnicas, los patrones aportan el 1.75%, los trabajadores el 0.63% y el Estado un 0.13% del salario base de cotización.  El patrón está obligado a enterar al Instituto los capitales constitutivos respectivos.</w:t>
      </w:r>
    </w:p>
    <w:p w14:paraId="7FE7F71B" w14:textId="77777777" w:rsidR="004C4C89" w:rsidRDefault="004C4C89" w:rsidP="00C16E7C">
      <w:pPr>
        <w:pStyle w:val="TEXTONORMAL"/>
      </w:pPr>
    </w:p>
    <w:p w14:paraId="00FFD57A" w14:textId="77777777" w:rsidR="004C4C89" w:rsidRDefault="004C4C89" w:rsidP="00C16E7C">
      <w:pPr>
        <w:pStyle w:val="TEXTONORMAL"/>
      </w:pPr>
    </w:p>
    <w:p w14:paraId="71AD56CD" w14:textId="77777777" w:rsidR="009C01F5" w:rsidRPr="00C16E7C" w:rsidRDefault="009C01F5" w:rsidP="00C16E7C">
      <w:pPr>
        <w:pStyle w:val="TEXTONORMAL"/>
      </w:pPr>
    </w:p>
    <w:p w14:paraId="21E7DA21" w14:textId="77777777" w:rsidR="009D5C48" w:rsidRPr="001872A2" w:rsidRDefault="009D5C48" w:rsidP="003F2A12">
      <w:pPr>
        <w:pStyle w:val="TEXTONORMAL"/>
        <w:numPr>
          <w:ilvl w:val="0"/>
          <w:numId w:val="59"/>
        </w:numPr>
        <w:ind w:left="1077"/>
        <w:rPr>
          <w:lang w:val="es-MX"/>
        </w:rPr>
      </w:pPr>
      <w:r w:rsidRPr="001872A2">
        <w:rPr>
          <w:lang w:val="es-MX"/>
        </w:rPr>
        <w:lastRenderedPageBreak/>
        <w:t>Seguro de retiro, cesantía en edad avanzada y vejez</w:t>
      </w:r>
    </w:p>
    <w:p w14:paraId="56A7F955" w14:textId="77777777" w:rsidR="009D5C48" w:rsidRPr="00C16E7C" w:rsidRDefault="009D5C48" w:rsidP="00C16E7C">
      <w:pPr>
        <w:pStyle w:val="TEXTONORMAL"/>
      </w:pPr>
      <w:r w:rsidRPr="00C16E7C">
        <w:t>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 y vejez y una cuota social de 3.87077 pesos a 3.22564 pesos, actualizada trimestralmente para los trabajadores que ganen hasta quince veces el salario mínimo general vigente en el Distrito Federal</w:t>
      </w:r>
      <w:r w:rsidR="001F5B78">
        <w:rPr>
          <w:rStyle w:val="Refdenotaalpie"/>
          <w:color w:val="000000"/>
        </w:rPr>
        <w:footnoteReference w:id="1"/>
      </w:r>
      <w:r w:rsidRPr="00C16E7C">
        <w:rPr>
          <w:color w:val="000000"/>
          <w:vertAlign w:val="superscript"/>
        </w:rPr>
        <w:t>/</w:t>
      </w:r>
      <w:r w:rsidRPr="00C16E7C">
        <w:t>), de los patrones (5.15% sobre salario base) y del trabajador (1.3%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14:paraId="05150773" w14:textId="77777777" w:rsidR="009D5C48" w:rsidRPr="00C16E7C" w:rsidRDefault="009D5C48" w:rsidP="001F5B78">
      <w:pPr>
        <w:pStyle w:val="TEXTONORMAL"/>
      </w:pPr>
      <w:r w:rsidRPr="00C16E7C">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w:t>
      </w:r>
      <w:r w:rsidR="001F5B78">
        <w:t xml:space="preserve">ó,  estarán a cargo del </w:t>
      </w:r>
      <w:r w:rsidRPr="00C16E7C">
        <w:t>Gobierno Federal, devolviendo a los asegurados la totalidad de sus fondos acumulados en las AFORES a excepción de la subcuenta de cesantía en edad avanzada y vejez, que se entrega al Gobierno Federal.</w:t>
      </w:r>
    </w:p>
    <w:p w14:paraId="12CB8AE4" w14:textId="77777777" w:rsidR="009D5C48" w:rsidRPr="001872A2" w:rsidRDefault="009D5C48" w:rsidP="003F2A12">
      <w:pPr>
        <w:pStyle w:val="TEXTONORMAL"/>
        <w:numPr>
          <w:ilvl w:val="0"/>
          <w:numId w:val="59"/>
        </w:numPr>
        <w:ind w:left="1077"/>
        <w:rPr>
          <w:lang w:val="es-MX"/>
        </w:rPr>
      </w:pPr>
      <w:r w:rsidRPr="001872A2">
        <w:rPr>
          <w:lang w:val="es-MX"/>
        </w:rPr>
        <w:t>Seguro de guarderías y prestaciones sociales</w:t>
      </w:r>
    </w:p>
    <w:p w14:paraId="259C0494" w14:textId="77777777" w:rsidR="009D5C48" w:rsidRPr="00C16E7C" w:rsidRDefault="009D5C48" w:rsidP="00C16E7C">
      <w:pPr>
        <w:pStyle w:val="TEXTONORMAL"/>
      </w:pPr>
      <w:r w:rsidRPr="00C16E7C">
        <w:t>Los patrones aportan el 1% del salario base de cotización para financiar este seguro y cubre el riesgo de las personas trabajadoras que bajo ciertas circunstancias no pueda proporcionar cuidados de primera infancia durante la jornada de trabajo a sus hijos.</w:t>
      </w:r>
    </w:p>
    <w:p w14:paraId="6D685AA2" w14:textId="77777777" w:rsidR="009D5C48" w:rsidRPr="00C16E7C" w:rsidRDefault="009D5C48" w:rsidP="00C16E7C">
      <w:pPr>
        <w:pStyle w:val="TEXTONORMAL"/>
      </w:pPr>
      <w:r w:rsidRPr="00C16E7C">
        <w:t>Este seguro también cubre el costo de servicios y programas de prestaciones sociales que fortalezcan la medicina preventiva, el autocuidado de la salud de los derechohabientes y mejoren su economía e integridad familiar.</w:t>
      </w:r>
    </w:p>
    <w:p w14:paraId="5769F3E2" w14:textId="77777777" w:rsidR="009D5C48" w:rsidRPr="00BF0B73" w:rsidRDefault="009D5C48" w:rsidP="003F2A12">
      <w:pPr>
        <w:pStyle w:val="VIETAFLECHA"/>
        <w:numPr>
          <w:ilvl w:val="0"/>
          <w:numId w:val="56"/>
        </w:numPr>
        <w:ind w:left="357" w:hanging="357"/>
      </w:pPr>
      <w:r w:rsidRPr="00BF0B73">
        <w:t>Régimen voluntario</w:t>
      </w:r>
    </w:p>
    <w:p w14:paraId="16BE08D5" w14:textId="77777777" w:rsidR="009D5C48" w:rsidRPr="00957D43" w:rsidRDefault="009D5C48" w:rsidP="003F2A12">
      <w:pPr>
        <w:pStyle w:val="TEXTONORMAL"/>
        <w:numPr>
          <w:ilvl w:val="0"/>
          <w:numId w:val="60"/>
        </w:numPr>
        <w:rPr>
          <w:lang w:val="es-MX"/>
        </w:rPr>
      </w:pPr>
      <w:r w:rsidRPr="00957D43">
        <w:rPr>
          <w:lang w:val="es-MX"/>
        </w:rPr>
        <w:t>Seguro de salud para la familia</w:t>
      </w:r>
    </w:p>
    <w:p w14:paraId="1365A428" w14:textId="77777777" w:rsidR="001059B2" w:rsidRDefault="009D5C48" w:rsidP="00C16E7C">
      <w:pPr>
        <w:pStyle w:val="TEXTONORMAL"/>
      </w:pPr>
      <w:r w:rsidRPr="00C16E7C">
        <w:t xml:space="preserve">Todas las familias en México pueden, voluntariamente, integrarse a este seguro por convenio, cubre las prestaciones en especie del seguro de enfermedades y maternidad, cotizando cada uno de los integrantes familiares </w:t>
      </w:r>
      <w:r w:rsidR="00440EDB" w:rsidRPr="00C16E7C">
        <w:t>de acuerdo con</w:t>
      </w:r>
      <w:r w:rsidRPr="00C16E7C">
        <w:t xml:space="preserve"> una tabla preestablecida por edades, los asegurados pagan este seguro anualmente. El Estado contribuye mensualmente por familia con un 13.9% de un salario mínimo general diario vigente en el Distrito Federal</w:t>
      </w:r>
      <w:r w:rsidR="00014488">
        <w:rPr>
          <w:color w:val="000000"/>
          <w:vertAlign w:val="superscript"/>
        </w:rPr>
        <w:t>2</w:t>
      </w:r>
      <w:r w:rsidRPr="00C16E7C">
        <w:rPr>
          <w:color w:val="000000"/>
          <w:vertAlign w:val="superscript"/>
        </w:rPr>
        <w:t>/</w:t>
      </w:r>
      <w:r w:rsidRPr="00C16E7C">
        <w:t>, actualizada trimestralmente de acuerdo con la variación del Índice Nacional de Precios al Consumidor.</w:t>
      </w:r>
    </w:p>
    <w:p w14:paraId="3D573EAA" w14:textId="77777777" w:rsidR="00440EDB" w:rsidRDefault="00440EDB" w:rsidP="00C16E7C">
      <w:pPr>
        <w:pStyle w:val="TEXTONORMAL"/>
      </w:pPr>
    </w:p>
    <w:p w14:paraId="570BD912" w14:textId="77777777" w:rsidR="00440EDB" w:rsidRDefault="00440EDB" w:rsidP="00C16E7C">
      <w:pPr>
        <w:pStyle w:val="TEXTONORMAL"/>
      </w:pPr>
    </w:p>
    <w:p w14:paraId="7C937528" w14:textId="77777777" w:rsidR="00440EDB" w:rsidRPr="00C16E7C" w:rsidRDefault="00440EDB" w:rsidP="00C16E7C">
      <w:pPr>
        <w:pStyle w:val="TEXTONORMAL"/>
      </w:pPr>
    </w:p>
    <w:p w14:paraId="400275C5" w14:textId="77777777" w:rsidR="009D5C48" w:rsidRPr="00BF0B73" w:rsidRDefault="009D5C48" w:rsidP="003F2A12">
      <w:pPr>
        <w:pStyle w:val="VIETAFLECHA"/>
        <w:numPr>
          <w:ilvl w:val="0"/>
          <w:numId w:val="56"/>
        </w:numPr>
        <w:ind w:left="357" w:hanging="357"/>
      </w:pPr>
      <w:r w:rsidRPr="00BF0B73">
        <w:t>Bases de cotización y cuotas</w:t>
      </w:r>
    </w:p>
    <w:p w14:paraId="396CD252" w14:textId="77777777" w:rsidR="009D5C48" w:rsidRPr="00C16E7C" w:rsidRDefault="009D5C48" w:rsidP="00C16E7C">
      <w:pPr>
        <w:pStyle w:val="TEXTONORMAL"/>
      </w:pPr>
      <w:r w:rsidRPr="00C16E7C">
        <w:t>Los asegurados se inscribirán con el salario base de cotización que perciban en el momento de afiliación, el límite superior del salario diario base de cotización, es de veinticinco veces el salario mínimo general del Distrito Federal</w:t>
      </w:r>
      <w:r w:rsidR="00AD7587">
        <w:rPr>
          <w:rStyle w:val="Refdenotaalpie"/>
        </w:rPr>
        <w:footnoteReference w:id="2"/>
      </w:r>
      <w:r w:rsidR="006A4128" w:rsidRPr="00C16E7C">
        <w:rPr>
          <w:color w:val="000000"/>
          <w:vertAlign w:val="superscript"/>
        </w:rPr>
        <w:t>/</w:t>
      </w:r>
      <w:r w:rsidR="006A4128" w:rsidRPr="00C16E7C">
        <w:rPr>
          <w:color w:val="000000"/>
        </w:rPr>
        <w:t xml:space="preserve"> </w:t>
      </w:r>
      <w:r w:rsidR="006A4128" w:rsidRPr="00C16E7C">
        <w:t>y</w:t>
      </w:r>
      <w:r w:rsidRPr="00C16E7C">
        <w:t xml:space="preserve">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14:paraId="1ECD5FC5" w14:textId="77777777" w:rsidR="009D5C48" w:rsidRPr="00C16E7C" w:rsidRDefault="009D5C48" w:rsidP="00C16E7C">
      <w:pPr>
        <w:pStyle w:val="TEXTONORMAL"/>
      </w:pPr>
      <w:r w:rsidRPr="00C16E7C">
        <w:t xml:space="preserve">El patrón está obligado a determinar mensualmente el total de las cuotas </w:t>
      </w:r>
      <w:r w:rsidR="006A4128" w:rsidRPr="00C16E7C">
        <w:t>obrero-patronales</w:t>
      </w:r>
      <w:r w:rsidRPr="00C16E7C">
        <w:t xml:space="preserve"> y realizar el pago respectivo, a más tardar el día diecisiete del siguiente mes de su causación, en los términos que señala la LSS y el Código Fiscal de la Federación, la determinación se deberá realizar aunque estas no sean cubiertas.</w:t>
      </w:r>
    </w:p>
    <w:p w14:paraId="47DFC316" w14:textId="77777777" w:rsidR="009D5C48" w:rsidRPr="00C16E7C" w:rsidRDefault="009D5C48" w:rsidP="00C16E7C">
      <w:pPr>
        <w:pStyle w:val="TEXTONORMAL"/>
      </w:pPr>
      <w:r w:rsidRPr="00C16E7C">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p>
    <w:p w14:paraId="6E4BF782" w14:textId="77777777" w:rsidR="009D5C48" w:rsidRPr="00BF0B73" w:rsidRDefault="009D5C48" w:rsidP="003F2A12">
      <w:pPr>
        <w:pStyle w:val="VIETAFLECHA"/>
        <w:numPr>
          <w:ilvl w:val="0"/>
          <w:numId w:val="56"/>
        </w:numPr>
        <w:ind w:left="357" w:hanging="357"/>
      </w:pPr>
      <w:r w:rsidRPr="00BF0B73">
        <w:t>Constitución de reservas</w:t>
      </w:r>
    </w:p>
    <w:p w14:paraId="7363323B" w14:textId="77777777" w:rsidR="009D5C48" w:rsidRPr="00C16E7C" w:rsidRDefault="009D5C48" w:rsidP="00C16E7C">
      <w:pPr>
        <w:pStyle w:val="TEXTONORMAL"/>
      </w:pPr>
      <w:r w:rsidRPr="00C16E7C">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14:paraId="3F8AF2F3" w14:textId="77777777" w:rsidR="009D5C48" w:rsidRPr="00C16E7C" w:rsidRDefault="009D5C48" w:rsidP="00C16E7C">
      <w:pPr>
        <w:pStyle w:val="TEXTONORMAL"/>
      </w:pPr>
      <w:r w:rsidRPr="00C16E7C">
        <w:t>-Operativas</w:t>
      </w:r>
    </w:p>
    <w:p w14:paraId="5097354F" w14:textId="77777777" w:rsidR="009D5C48" w:rsidRPr="00C16E7C" w:rsidRDefault="009D5C48" w:rsidP="00C16E7C">
      <w:pPr>
        <w:pStyle w:val="TEXTONORMAL"/>
      </w:pPr>
      <w:r w:rsidRPr="00C16E7C">
        <w:t>-De operación para contingencias y financiamiento</w:t>
      </w:r>
    </w:p>
    <w:p w14:paraId="53E4FA27" w14:textId="77777777" w:rsidR="009D5C48" w:rsidRPr="00C16E7C" w:rsidRDefault="009D5C48" w:rsidP="00C16E7C">
      <w:pPr>
        <w:pStyle w:val="TEXTONORMAL"/>
      </w:pPr>
      <w:r w:rsidRPr="00C16E7C">
        <w:t>-Financieras y actuariales</w:t>
      </w:r>
    </w:p>
    <w:p w14:paraId="125D9DEF" w14:textId="77777777" w:rsidR="009D5C48" w:rsidRPr="00C16E7C" w:rsidRDefault="009D5C48" w:rsidP="00C16E7C">
      <w:pPr>
        <w:pStyle w:val="TEXTONORMAL"/>
      </w:pPr>
      <w:r w:rsidRPr="00C16E7C">
        <w:t>-General financiera y actuarial</w:t>
      </w:r>
    </w:p>
    <w:p w14:paraId="2C80A5A7" w14:textId="77777777" w:rsidR="009D5C48" w:rsidRPr="00C16E7C" w:rsidRDefault="009D5C48" w:rsidP="00C16E7C">
      <w:pPr>
        <w:pStyle w:val="TEXTONORMAL"/>
      </w:pPr>
      <w:r w:rsidRPr="00C16E7C">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14:paraId="5E5FCA9D" w14:textId="77777777" w:rsidR="009D5C48" w:rsidRPr="00C16E7C" w:rsidRDefault="009D5C48" w:rsidP="00C16E7C">
      <w:pPr>
        <w:pStyle w:val="TEXTONORMAL"/>
      </w:pPr>
      <w:r w:rsidRPr="00C16E7C">
        <w:t xml:space="preserve">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w:t>
      </w:r>
      <w:r w:rsidRPr="00C16E7C">
        <w:lastRenderedPageBreak/>
        <w:t>respecto de las reservas operativas y de operación para contingencias y financiamiento. Los montos programados para la constitución y fondeo de las reservas financieras y actuariales, y la reserva general financiera y actuarial, no están sujetos a modificación.</w:t>
      </w:r>
    </w:p>
    <w:p w14:paraId="1BECC5CD" w14:textId="77777777" w:rsidR="009D5C48" w:rsidRPr="00C16E7C" w:rsidRDefault="009D5C48" w:rsidP="00C16E7C">
      <w:pPr>
        <w:pStyle w:val="TEXTONORMAL"/>
      </w:pPr>
      <w:r w:rsidRPr="00C16E7C">
        <w:t>Los intereses provenientes de los fondos invertidos en cada reserva deben incrementarse a los valores de los fondos de la reserva que le dieron origen.</w:t>
      </w:r>
    </w:p>
    <w:p w14:paraId="656CF800" w14:textId="77777777" w:rsidR="009D5C48" w:rsidRPr="00BB3938" w:rsidRDefault="009D5C48" w:rsidP="003F2A12">
      <w:pPr>
        <w:pStyle w:val="TEXTONORMAL"/>
        <w:numPr>
          <w:ilvl w:val="0"/>
          <w:numId w:val="61"/>
        </w:numPr>
        <w:ind w:left="1077"/>
        <w:rPr>
          <w:lang w:val="es-MX"/>
        </w:rPr>
      </w:pPr>
      <w:r w:rsidRPr="00BB3938">
        <w:rPr>
          <w:lang w:val="es-MX"/>
        </w:rPr>
        <w:t>Reservas operativas</w:t>
      </w:r>
    </w:p>
    <w:p w14:paraId="2073107D" w14:textId="77777777" w:rsidR="009D5C48" w:rsidRPr="00C16E7C" w:rsidRDefault="009D5C48" w:rsidP="00C16E7C">
      <w:pPr>
        <w:pStyle w:val="TEXTONORMAL"/>
      </w:pPr>
      <w:r w:rsidRPr="00C16E7C">
        <w:t>Se constituye por la totalidad de los ingresos por cuotas obrero 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integran por los siguientes ramos de seguro:</w:t>
      </w:r>
    </w:p>
    <w:p w14:paraId="794C41E1" w14:textId="77777777" w:rsidR="009D5C48" w:rsidRPr="00C16E7C" w:rsidRDefault="009D5C48" w:rsidP="003F2A12">
      <w:pPr>
        <w:pStyle w:val="TEXTONORMAL"/>
        <w:numPr>
          <w:ilvl w:val="0"/>
          <w:numId w:val="83"/>
        </w:numPr>
        <w:ind w:left="998" w:hanging="284"/>
      </w:pPr>
      <w:r w:rsidRPr="00290956">
        <w:rPr>
          <w:lang w:val="es-MX"/>
        </w:rPr>
        <w:t>Enfermedad y Maternidad</w:t>
      </w:r>
    </w:p>
    <w:p w14:paraId="7D8856F6" w14:textId="77777777" w:rsidR="009D5C48" w:rsidRPr="00290956" w:rsidRDefault="009D5C48" w:rsidP="003F2A12">
      <w:pPr>
        <w:pStyle w:val="TEXTONORMAL"/>
        <w:numPr>
          <w:ilvl w:val="0"/>
          <w:numId w:val="83"/>
        </w:numPr>
        <w:ind w:left="998" w:hanging="284"/>
        <w:rPr>
          <w:lang w:val="es-MX"/>
        </w:rPr>
      </w:pPr>
      <w:r w:rsidRPr="00290956">
        <w:rPr>
          <w:lang w:val="es-MX"/>
        </w:rPr>
        <w:t>Gastos Médicos para Pensionados</w:t>
      </w:r>
    </w:p>
    <w:p w14:paraId="727D0FE1" w14:textId="77777777" w:rsidR="009D5C48" w:rsidRPr="00290956" w:rsidRDefault="009D5C48" w:rsidP="003F2A12">
      <w:pPr>
        <w:pStyle w:val="TEXTONORMAL"/>
        <w:numPr>
          <w:ilvl w:val="0"/>
          <w:numId w:val="83"/>
        </w:numPr>
        <w:ind w:left="998" w:hanging="284"/>
        <w:rPr>
          <w:lang w:val="es-MX"/>
        </w:rPr>
      </w:pPr>
      <w:r w:rsidRPr="00290956">
        <w:rPr>
          <w:lang w:val="es-MX"/>
        </w:rPr>
        <w:t>Invalidez y Vida</w:t>
      </w:r>
    </w:p>
    <w:p w14:paraId="42D715F6" w14:textId="77777777" w:rsidR="009D5C48" w:rsidRPr="00290956" w:rsidRDefault="009D5C48" w:rsidP="003F2A12">
      <w:pPr>
        <w:pStyle w:val="TEXTONORMAL"/>
        <w:numPr>
          <w:ilvl w:val="0"/>
          <w:numId w:val="83"/>
        </w:numPr>
        <w:ind w:left="998" w:hanging="284"/>
        <w:rPr>
          <w:lang w:val="es-MX"/>
        </w:rPr>
      </w:pPr>
      <w:r w:rsidRPr="00290956">
        <w:rPr>
          <w:lang w:val="es-MX"/>
        </w:rPr>
        <w:t>Riesgos de Trabajo</w:t>
      </w:r>
    </w:p>
    <w:p w14:paraId="50725582" w14:textId="77777777" w:rsidR="009D5C48" w:rsidRPr="00290956" w:rsidRDefault="009D5C48" w:rsidP="003F2A12">
      <w:pPr>
        <w:pStyle w:val="TEXTONORMAL"/>
        <w:numPr>
          <w:ilvl w:val="0"/>
          <w:numId w:val="83"/>
        </w:numPr>
        <w:ind w:left="998" w:hanging="284"/>
        <w:rPr>
          <w:lang w:val="es-MX"/>
        </w:rPr>
      </w:pPr>
      <w:r w:rsidRPr="00290956">
        <w:rPr>
          <w:lang w:val="es-MX"/>
        </w:rPr>
        <w:t>Guarderías y Prestaciones Sociales</w:t>
      </w:r>
    </w:p>
    <w:p w14:paraId="4D473F95" w14:textId="77777777" w:rsidR="009D5C48" w:rsidRPr="00290956" w:rsidRDefault="009D5C48" w:rsidP="003F2A12">
      <w:pPr>
        <w:pStyle w:val="TEXTONORMAL"/>
        <w:numPr>
          <w:ilvl w:val="0"/>
          <w:numId w:val="83"/>
        </w:numPr>
        <w:ind w:left="998" w:hanging="284"/>
        <w:rPr>
          <w:lang w:val="es-MX"/>
        </w:rPr>
      </w:pPr>
      <w:r w:rsidRPr="00290956">
        <w:rPr>
          <w:lang w:val="es-MX"/>
        </w:rPr>
        <w:t>Seguro de Salud para la Familia</w:t>
      </w:r>
    </w:p>
    <w:p w14:paraId="415F0B6C" w14:textId="77777777" w:rsidR="009D5C48" w:rsidRPr="00C16E7C" w:rsidRDefault="009D5C48" w:rsidP="00C16E7C">
      <w:pPr>
        <w:pStyle w:val="TEXTONORMAL"/>
      </w:pPr>
      <w:r w:rsidRPr="00C16E7C">
        <w:t xml:space="preserve">Para disponer oportunamente de los fondos para el pago de las obligaciones durante el ejercicio, la inversión de esta reserva debe realizarse en valores del Gobierno Federal, en valores de alta calidad crediticia, en </w:t>
      </w:r>
      <w:r w:rsidR="004045E4">
        <w:t xml:space="preserve">flujo </w:t>
      </w:r>
      <w:r w:rsidRPr="00C16E7C">
        <w:t>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14:paraId="76461555" w14:textId="77777777" w:rsidR="009D5C48" w:rsidRPr="00BB3938" w:rsidRDefault="009D5C48" w:rsidP="003F2A12">
      <w:pPr>
        <w:pStyle w:val="TEXTONORMAL"/>
        <w:numPr>
          <w:ilvl w:val="0"/>
          <w:numId w:val="61"/>
        </w:numPr>
        <w:ind w:left="1077"/>
        <w:rPr>
          <w:lang w:val="es-MX"/>
        </w:rPr>
      </w:pPr>
      <w:r w:rsidRPr="00C16E7C">
        <w:rPr>
          <w:b/>
          <w:lang w:val="es-MX"/>
        </w:rPr>
        <w:tab/>
      </w:r>
      <w:r w:rsidRPr="00BB3938">
        <w:rPr>
          <w:lang w:val="es-MX"/>
        </w:rPr>
        <w:t>Reserva de operación para contingencias y financiamiento</w:t>
      </w:r>
    </w:p>
    <w:p w14:paraId="79AD5BAE" w14:textId="77777777" w:rsidR="009D5C48" w:rsidRPr="00C16E7C" w:rsidRDefault="009D5C48" w:rsidP="00C16E7C">
      <w:pPr>
        <w:pStyle w:val="TEXTONORMAL"/>
      </w:pPr>
      <w:r w:rsidRPr="00C16E7C">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14:paraId="0AA32185" w14:textId="77777777" w:rsidR="009D5C48" w:rsidRPr="00C16E7C" w:rsidRDefault="009D5C48" w:rsidP="00C16E7C">
      <w:pPr>
        <w:pStyle w:val="TEXTONORMAL"/>
      </w:pPr>
      <w:r w:rsidRPr="00C16E7C">
        <w:t>Así mismo, en el caso de que no sea posible cumplir con las metas de reservas y fondos señalados en el PEF, el Instituto podrá disponer de la reserva de operación para contingencias y financiamiento, previa autorización del H. Consejo Técnico, debiendo informar de tales ajustes al Ejecutivo Federal, por conducto de la SHCP.</w:t>
      </w:r>
    </w:p>
    <w:p w14:paraId="2F498FCF" w14:textId="77777777" w:rsidR="00274C14" w:rsidRDefault="009D5C48" w:rsidP="00C16E7C">
      <w:pPr>
        <w:pStyle w:val="TEXTONORMAL"/>
      </w:pPr>
      <w:r w:rsidRPr="00C16E7C">
        <w:t>La inversión de esta reserva debe realizarse en valores del Gobierno Federal, en valores de alta calidad crediticia, en depósitos a la vista o a plazo en instituciones de crédito y fondos de inversión.</w:t>
      </w:r>
    </w:p>
    <w:p w14:paraId="341EBD49" w14:textId="77777777" w:rsidR="00022A10" w:rsidRPr="00C16E7C" w:rsidRDefault="00022A10" w:rsidP="00C16E7C">
      <w:pPr>
        <w:pStyle w:val="TEXTONORMAL"/>
      </w:pPr>
    </w:p>
    <w:p w14:paraId="1A505F21" w14:textId="77777777" w:rsidR="009D5C48" w:rsidRPr="00BB3938" w:rsidRDefault="009D5C48" w:rsidP="003F2A12">
      <w:pPr>
        <w:pStyle w:val="TEXTONORMAL"/>
        <w:numPr>
          <w:ilvl w:val="0"/>
          <w:numId w:val="61"/>
        </w:numPr>
        <w:ind w:left="1077"/>
        <w:rPr>
          <w:lang w:val="es-MX"/>
        </w:rPr>
      </w:pPr>
      <w:r w:rsidRPr="00BB3938">
        <w:rPr>
          <w:lang w:val="es-MX"/>
        </w:rPr>
        <w:lastRenderedPageBreak/>
        <w:t>Reservas financieras y actuariales</w:t>
      </w:r>
    </w:p>
    <w:p w14:paraId="185E4504" w14:textId="77777777" w:rsidR="009D5C48" w:rsidRPr="00C16E7C" w:rsidRDefault="009D5C48" w:rsidP="00C16E7C">
      <w:pPr>
        <w:pStyle w:val="TEXTONORMAL"/>
      </w:pPr>
      <w:r w:rsidRPr="00C16E7C">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14:paraId="738A5DA0" w14:textId="77777777" w:rsidR="009D5C48" w:rsidRPr="00C16E7C" w:rsidRDefault="009D5C48" w:rsidP="00C16E7C">
      <w:pPr>
        <w:pStyle w:val="TEXTONORMAL"/>
      </w:pPr>
      <w:r w:rsidRPr="00C16E7C">
        <w:t>La disposición de estas reservas solo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14:paraId="1E36C5A7" w14:textId="77777777" w:rsidR="009D5C48" w:rsidRPr="00C16E7C" w:rsidRDefault="009D5C48" w:rsidP="00C16E7C">
      <w:pPr>
        <w:pStyle w:val="TEXTONORMAL"/>
      </w:pPr>
      <w:r w:rsidRPr="00C16E7C">
        <w:t>Los recursos de estas reservas solo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14:paraId="36495B54" w14:textId="77777777" w:rsidR="009D5C48" w:rsidRPr="00BB3938" w:rsidRDefault="009D5C48" w:rsidP="003F2A12">
      <w:pPr>
        <w:pStyle w:val="TEXTONORMAL"/>
        <w:numPr>
          <w:ilvl w:val="0"/>
          <w:numId w:val="61"/>
        </w:numPr>
        <w:ind w:left="1077"/>
        <w:rPr>
          <w:lang w:val="es-MX"/>
        </w:rPr>
      </w:pPr>
      <w:r w:rsidRPr="00BB3938">
        <w:rPr>
          <w:lang w:val="es-MX"/>
        </w:rPr>
        <w:t>Reserva general financiera y actuarial</w:t>
      </w:r>
    </w:p>
    <w:p w14:paraId="3741802E" w14:textId="77777777" w:rsidR="009D5C48" w:rsidRPr="00C16E7C" w:rsidRDefault="009D5C48" w:rsidP="00C16E7C">
      <w:pPr>
        <w:pStyle w:val="TEXTONORMAL"/>
      </w:pPr>
      <w:r w:rsidRPr="00C16E7C">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14:paraId="66DF364E" w14:textId="77777777" w:rsidR="009D5C48" w:rsidRPr="00C16E7C" w:rsidRDefault="009D5C48" w:rsidP="00C16E7C">
      <w:pPr>
        <w:pStyle w:val="TEXTONORMAL"/>
      </w:pPr>
      <w:r w:rsidRPr="00C16E7C">
        <w:t>La normatividad para el fondeo de esta reserva es el mismo que se describe para las reservas financieras y actuariales.</w:t>
      </w:r>
    </w:p>
    <w:p w14:paraId="1C33471F" w14:textId="77777777" w:rsidR="009D5C48" w:rsidRPr="00C16E7C" w:rsidRDefault="009D5C48" w:rsidP="00C16E7C">
      <w:pPr>
        <w:pStyle w:val="TEXTONORMAL"/>
      </w:pPr>
      <w:r w:rsidRPr="00C16E7C">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14:paraId="763C429B" w14:textId="77777777" w:rsidR="009D5C48" w:rsidRPr="002461DC" w:rsidRDefault="009D5C48" w:rsidP="003F2A12">
      <w:pPr>
        <w:pStyle w:val="VIETAFLECHA"/>
        <w:numPr>
          <w:ilvl w:val="0"/>
          <w:numId w:val="62"/>
        </w:numPr>
        <w:ind w:left="357" w:hanging="357"/>
      </w:pPr>
      <w:r w:rsidRPr="002461DC">
        <w:t>Restricciones financieras</w:t>
      </w:r>
    </w:p>
    <w:p w14:paraId="00D4260E" w14:textId="77777777" w:rsidR="009D5C48" w:rsidRPr="00C16E7C" w:rsidRDefault="009D5C48" w:rsidP="00C16E7C">
      <w:pPr>
        <w:pStyle w:val="TEXTONORMAL"/>
      </w:pPr>
      <w:r w:rsidRPr="00C16E7C">
        <w:t xml:space="preserve">El Instituto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rsidRPr="00C16E7C">
        <w:t>revolvencia</w:t>
      </w:r>
      <w:proofErr w:type="spellEnd"/>
      <w:r w:rsidRPr="00C16E7C">
        <w:t>, que se destinen a liquidar compromisos con proveedores de insumos, sin perjuicio de los compromisos análogos a estos últimos que autorice contraer previamente la SHCP conforme lo establecido en el artículo 277 B de la LSS.</w:t>
      </w:r>
    </w:p>
    <w:p w14:paraId="65C4905F" w14:textId="77777777" w:rsidR="009D5C48" w:rsidRPr="002461DC" w:rsidRDefault="009D5C48" w:rsidP="003F2A12">
      <w:pPr>
        <w:pStyle w:val="VIETAFLECHA"/>
        <w:numPr>
          <w:ilvl w:val="0"/>
          <w:numId w:val="62"/>
        </w:numPr>
        <w:ind w:left="357" w:hanging="357"/>
      </w:pPr>
      <w:r w:rsidRPr="002461DC">
        <w:t>Informe financiero y actuarial</w:t>
      </w:r>
    </w:p>
    <w:p w14:paraId="40E36993" w14:textId="77777777" w:rsidR="009D5C48" w:rsidRPr="00C16E7C" w:rsidRDefault="009D5C48" w:rsidP="00C16E7C">
      <w:pPr>
        <w:pStyle w:val="TEXTONORMAL"/>
      </w:pPr>
      <w:r w:rsidRPr="00C16E7C">
        <w:t>La Administración del Instituto elabora un informe, el cual es dictaminado por un auditor externo, para ser presentado al H. Consejo Técnico, Asamblea General y H. Comisión de Vigilancia en los términos de los artículos 245, 261 y 266 de la LSS, respectivamente, que incluye:</w:t>
      </w:r>
    </w:p>
    <w:p w14:paraId="6F560245" w14:textId="77777777" w:rsidR="009D5C48" w:rsidRPr="00C16E7C" w:rsidRDefault="009D5C48" w:rsidP="003F2A12">
      <w:pPr>
        <w:pStyle w:val="TEXTONORMAL"/>
        <w:numPr>
          <w:ilvl w:val="0"/>
          <w:numId w:val="63"/>
        </w:numPr>
        <w:ind w:left="714" w:hanging="357"/>
      </w:pPr>
      <w:r w:rsidRPr="00C16E7C">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51A1F10C" w14:textId="77777777" w:rsidR="009D5C48" w:rsidRPr="00C16E7C" w:rsidRDefault="009D5C48" w:rsidP="003F2A12">
      <w:pPr>
        <w:pStyle w:val="TEXTONORMAL"/>
        <w:numPr>
          <w:ilvl w:val="0"/>
          <w:numId w:val="63"/>
        </w:numPr>
        <w:ind w:left="714" w:hanging="357"/>
      </w:pPr>
      <w:r w:rsidRPr="00C16E7C">
        <w:t>Los posibles riesgos, contingencias y pasivos que se estén tomando en cada seguro y la capacidad financiera del Instituto para responder a ellos en función de sus ingresos y las reservas disponibles.</w:t>
      </w:r>
    </w:p>
    <w:p w14:paraId="4CA94D6C" w14:textId="77777777" w:rsidR="009D5C48" w:rsidRPr="00C16E7C" w:rsidRDefault="009D5C48" w:rsidP="003F2A12">
      <w:pPr>
        <w:pStyle w:val="TEXTONORMAL"/>
        <w:numPr>
          <w:ilvl w:val="0"/>
          <w:numId w:val="63"/>
        </w:numPr>
        <w:ind w:left="714" w:hanging="357"/>
      </w:pPr>
      <w:r w:rsidRPr="00C16E7C">
        <w:lastRenderedPageBreak/>
        <w:t>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w:t>
      </w:r>
    </w:p>
    <w:p w14:paraId="160C0FF0" w14:textId="77777777" w:rsidR="00A668B0" w:rsidRDefault="009D5C48" w:rsidP="003F2A12">
      <w:pPr>
        <w:pStyle w:val="TEXTONORMAL"/>
        <w:numPr>
          <w:ilvl w:val="0"/>
          <w:numId w:val="63"/>
        </w:numPr>
        <w:ind w:left="714" w:hanging="357"/>
      </w:pPr>
      <w:r w:rsidRPr="00C16E7C">
        <w:t>La situación de sus pasivos laborales totales y de cualquier otra índole que comprometan su gasto por más de un ejercicio fiscal.</w:t>
      </w:r>
    </w:p>
    <w:p w14:paraId="67CC2CA6" w14:textId="77777777" w:rsidR="00854DDA" w:rsidRPr="00C16E7C" w:rsidRDefault="00854DDA" w:rsidP="008446D6">
      <w:pPr>
        <w:pStyle w:val="TEXTONORMAL"/>
        <w:ind w:left="714"/>
      </w:pPr>
    </w:p>
    <w:p w14:paraId="1ED9BA91" w14:textId="77777777" w:rsidR="009D5C48" w:rsidRPr="00B24BB9" w:rsidRDefault="009D5C48" w:rsidP="003F2A12">
      <w:pPr>
        <w:pStyle w:val="TEXTONORMAL"/>
        <w:numPr>
          <w:ilvl w:val="0"/>
          <w:numId w:val="64"/>
        </w:numPr>
        <w:ind w:left="357" w:hanging="357"/>
        <w:rPr>
          <w:lang w:val="es-MX"/>
        </w:rPr>
      </w:pPr>
      <w:r w:rsidRPr="00B24BB9">
        <w:rPr>
          <w:lang w:val="es-MX"/>
        </w:rPr>
        <w:t>Régimen fiscal aplicable al Instituto</w:t>
      </w:r>
    </w:p>
    <w:p w14:paraId="21D7137C" w14:textId="77777777" w:rsidR="009D5C48" w:rsidRPr="00C16E7C" w:rsidRDefault="009D5C48" w:rsidP="00C16E7C">
      <w:pPr>
        <w:pStyle w:val="TEXTONORMAL"/>
      </w:pPr>
      <w:r w:rsidRPr="00C16E7C">
        <w:t>De conformidad con el artículo 5 de la LSS, la naturaleza jurídica del Instituto Mexicano del Seguro Social,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14:paraId="53134879" w14:textId="77777777" w:rsidR="009D5C48" w:rsidRPr="00243972" w:rsidRDefault="009D5C48" w:rsidP="003F2A12">
      <w:pPr>
        <w:pStyle w:val="TEXTONORMAL"/>
        <w:numPr>
          <w:ilvl w:val="0"/>
          <w:numId w:val="65"/>
        </w:numPr>
        <w:rPr>
          <w:lang w:val="es-MX"/>
        </w:rPr>
      </w:pPr>
      <w:r w:rsidRPr="00243972">
        <w:rPr>
          <w:lang w:val="es-MX"/>
        </w:rPr>
        <w:t>Ley del Seguro Social (LSS)</w:t>
      </w:r>
    </w:p>
    <w:p w14:paraId="25D02E4A" w14:textId="77777777" w:rsidR="009D5C48" w:rsidRPr="00C16E7C" w:rsidRDefault="009D5C48" w:rsidP="00FC3E00">
      <w:pPr>
        <w:pStyle w:val="TEXTONORMAL"/>
      </w:pPr>
      <w:r w:rsidRPr="00C16E7C">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3E8C88AD" w14:textId="77777777" w:rsidR="009D5C48" w:rsidRPr="00243972" w:rsidRDefault="009D5C48" w:rsidP="003F2A12">
      <w:pPr>
        <w:pStyle w:val="TEXTONORMAL"/>
        <w:numPr>
          <w:ilvl w:val="0"/>
          <w:numId w:val="65"/>
        </w:numPr>
        <w:rPr>
          <w:lang w:val="es-MX"/>
        </w:rPr>
      </w:pPr>
      <w:r w:rsidRPr="00243972">
        <w:rPr>
          <w:lang w:val="es-MX"/>
        </w:rPr>
        <w:t>Impuesto Sobre la Renta (ISR)</w:t>
      </w:r>
    </w:p>
    <w:p w14:paraId="30642CBD" w14:textId="77777777" w:rsidR="009D5C48" w:rsidRPr="00C16E7C" w:rsidRDefault="009D5C48" w:rsidP="00C16E7C">
      <w:pPr>
        <w:pStyle w:val="TEXTONORMAL"/>
      </w:pPr>
      <w:r w:rsidRPr="00C16E7C">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14:paraId="0E152AFA" w14:textId="77777777" w:rsidR="009D5C48" w:rsidRPr="00243972" w:rsidRDefault="009D5C48" w:rsidP="003F2A12">
      <w:pPr>
        <w:pStyle w:val="TEXTONORMAL"/>
        <w:numPr>
          <w:ilvl w:val="0"/>
          <w:numId w:val="65"/>
        </w:numPr>
        <w:rPr>
          <w:lang w:val="es-MX"/>
        </w:rPr>
      </w:pPr>
      <w:r w:rsidRPr="00243972">
        <w:rPr>
          <w:lang w:val="es-MX"/>
        </w:rPr>
        <w:t>Impuesto al Valor Agregado (IVA)</w:t>
      </w:r>
    </w:p>
    <w:p w14:paraId="5D1E63E7" w14:textId="77777777" w:rsidR="009D5C48" w:rsidRDefault="009D5C48" w:rsidP="00C16E7C">
      <w:pPr>
        <w:pStyle w:val="TEXTONORMAL"/>
      </w:pPr>
      <w:r w:rsidRPr="00C16E7C">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14:paraId="71EB7FC3" w14:textId="77777777" w:rsidR="00274C14" w:rsidRDefault="00274C14" w:rsidP="00C16E7C">
      <w:pPr>
        <w:pStyle w:val="TEXTONORMAL"/>
      </w:pPr>
    </w:p>
    <w:p w14:paraId="72915CCA" w14:textId="77777777" w:rsidR="007E38F9" w:rsidRDefault="007E38F9" w:rsidP="00C16E7C">
      <w:pPr>
        <w:pStyle w:val="TEXTONORMAL"/>
      </w:pPr>
    </w:p>
    <w:p w14:paraId="4DA1A273" w14:textId="77777777" w:rsidR="007E38F9" w:rsidRDefault="007E38F9" w:rsidP="00C16E7C">
      <w:pPr>
        <w:pStyle w:val="TEXTONORMAL"/>
      </w:pPr>
    </w:p>
    <w:p w14:paraId="4CE1F35D" w14:textId="77777777" w:rsidR="007E38F9" w:rsidRPr="00C16E7C" w:rsidRDefault="007E38F9" w:rsidP="00C16E7C">
      <w:pPr>
        <w:pStyle w:val="TEXTONORMAL"/>
      </w:pPr>
    </w:p>
    <w:p w14:paraId="13420B9B" w14:textId="77777777" w:rsidR="009D5C48" w:rsidRPr="00E41573" w:rsidRDefault="009D5C48" w:rsidP="003F2A12">
      <w:pPr>
        <w:pStyle w:val="TEXTONORMAL"/>
        <w:numPr>
          <w:ilvl w:val="0"/>
          <w:numId w:val="66"/>
        </w:numPr>
        <w:ind w:left="357" w:hanging="357"/>
        <w:rPr>
          <w:lang w:val="es-MX"/>
        </w:rPr>
      </w:pPr>
      <w:r w:rsidRPr="00E41573">
        <w:rPr>
          <w:lang w:val="es-MX"/>
        </w:rPr>
        <w:lastRenderedPageBreak/>
        <w:t>Estructura organizacional básica</w:t>
      </w:r>
    </w:p>
    <w:p w14:paraId="67C40476" w14:textId="77777777" w:rsidR="009D5C48" w:rsidRPr="00C16E7C" w:rsidRDefault="009D5C48" w:rsidP="00C16E7C">
      <w:pPr>
        <w:pStyle w:val="TEXTONORMAL"/>
      </w:pPr>
      <w:r w:rsidRPr="00C16E7C">
        <w:t>Los Órganos de Gobierno del Instituto son los siguientes:</w:t>
      </w:r>
    </w:p>
    <w:p w14:paraId="65EC03D3" w14:textId="77777777" w:rsidR="009D5C48" w:rsidRPr="00C16E7C" w:rsidRDefault="009D5C48" w:rsidP="003F2A12">
      <w:pPr>
        <w:pStyle w:val="TEXTONORMAL"/>
        <w:numPr>
          <w:ilvl w:val="1"/>
          <w:numId w:val="68"/>
        </w:numPr>
        <w:ind w:left="714" w:hanging="357"/>
        <w:rPr>
          <w:lang w:val="es-MX"/>
        </w:rPr>
      </w:pPr>
      <w:r w:rsidRPr="00C16E7C">
        <w:rPr>
          <w:lang w:val="es-MX"/>
        </w:rPr>
        <w:t>La Asamblea General, la cual se integra por treinta miembros: diez del Ejecutivo Federal, diez de las Organizaciones Patronales y diez de las Organizaciones de Trabajadores, con encargo de seis años con derecho a reelección, y sus principales facultades además de las que les confiere el artículo 261 y 262 de la LSS, son las siguientes:</w:t>
      </w:r>
    </w:p>
    <w:p w14:paraId="2A5B9124" w14:textId="77777777" w:rsidR="009D5C48" w:rsidRPr="00C16E7C" w:rsidRDefault="009D5C48" w:rsidP="003F2A12">
      <w:pPr>
        <w:pStyle w:val="TEXTONORMAL"/>
        <w:numPr>
          <w:ilvl w:val="0"/>
          <w:numId w:val="9"/>
        </w:numPr>
        <w:ind w:left="998" w:hanging="284"/>
      </w:pPr>
      <w:r w:rsidRPr="00C16E7C">
        <w:t>Conocer, para su aprobación o modificación, el balance actuarial que presente anualmente el H. Consejo Técnico;</w:t>
      </w:r>
    </w:p>
    <w:p w14:paraId="15DBE39A" w14:textId="77777777" w:rsidR="009D5C48" w:rsidRPr="00C16E7C" w:rsidRDefault="009D5C48" w:rsidP="003F2A12">
      <w:pPr>
        <w:pStyle w:val="TEXTONORMAL"/>
        <w:numPr>
          <w:ilvl w:val="0"/>
          <w:numId w:val="9"/>
        </w:numPr>
        <w:ind w:left="998" w:hanging="284"/>
      </w:pPr>
      <w:r w:rsidRPr="00C16E7C">
        <w:t>Autorizar al H. Consejo Técnico para promover la revisión de la fórmula para el cálculo de la prima del seguro de riesgos de trabajo, en los términos que establece el artículo 76 de la LSS;</w:t>
      </w:r>
    </w:p>
    <w:p w14:paraId="2FB75666" w14:textId="77777777" w:rsidR="009D5C48" w:rsidRPr="00C16E7C" w:rsidRDefault="009D5C48" w:rsidP="003F2A12">
      <w:pPr>
        <w:pStyle w:val="TEXTONORMAL"/>
        <w:numPr>
          <w:ilvl w:val="0"/>
          <w:numId w:val="9"/>
        </w:numPr>
        <w:ind w:left="998" w:hanging="284"/>
      </w:pPr>
      <w:r w:rsidRPr="00C16E7C">
        <w:t>Decidir en definitiva sobre las resoluciones del H. Consejo Técnico que fueren vetadas por el Director General del Instituto;</w:t>
      </w:r>
    </w:p>
    <w:p w14:paraId="277A5D86" w14:textId="77777777" w:rsidR="009D5C48" w:rsidRPr="00C16E7C" w:rsidRDefault="009D5C48" w:rsidP="003F2A12">
      <w:pPr>
        <w:pStyle w:val="TEXTONORMAL"/>
        <w:numPr>
          <w:ilvl w:val="0"/>
          <w:numId w:val="9"/>
        </w:numPr>
        <w:ind w:left="998" w:hanging="284"/>
      </w:pPr>
      <w:r w:rsidRPr="00C16E7C">
        <w:t>Designar o ratificar los nombramientos de los miembros propietarios o suplentes del H. Consejo Técnico, propuestos por el Ejecutivo Federal y las Organizaciones de Patrones y de las Organizaciones de los Trabajadores;</w:t>
      </w:r>
    </w:p>
    <w:p w14:paraId="1C62A8AF" w14:textId="77777777" w:rsidR="009D5C48" w:rsidRPr="00C16E7C" w:rsidRDefault="009D5C48" w:rsidP="003F2A12">
      <w:pPr>
        <w:pStyle w:val="TEXTONORMAL"/>
        <w:numPr>
          <w:ilvl w:val="0"/>
          <w:numId w:val="9"/>
        </w:numPr>
        <w:ind w:left="998" w:hanging="284"/>
      </w:pPr>
      <w:r w:rsidRPr="00C16E7C">
        <w:t>Designar o ratificar el nombramiento de los miembros de la H. Comisión de Vigilancia y decidir en definitiva sobre la solicitud de revocación del mismo, en los términos de la fracción siguiente;</w:t>
      </w:r>
    </w:p>
    <w:p w14:paraId="0FEE1499" w14:textId="77777777" w:rsidR="009D5C48" w:rsidRPr="00C16E7C" w:rsidRDefault="009D5C48" w:rsidP="003F2A12">
      <w:pPr>
        <w:pStyle w:val="TEXTONORMAL"/>
        <w:numPr>
          <w:ilvl w:val="0"/>
          <w:numId w:val="9"/>
        </w:numPr>
        <w:ind w:left="998" w:hanging="284"/>
      </w:pPr>
      <w:r w:rsidRPr="00C16E7C">
        <w:t>Resolver en definitiva sobre la solicitud de revocación del nombramiento de los miembros del H. Consejo Técnico o de los miembros de la H. Comisión de Vigilancia, a que se refieren los artículos 263 y 265 de la LSS.</w:t>
      </w:r>
    </w:p>
    <w:p w14:paraId="3B98EEF3" w14:textId="77777777" w:rsidR="009D5C48" w:rsidRPr="00C16E7C" w:rsidRDefault="009D5C48" w:rsidP="003F2A12">
      <w:pPr>
        <w:pStyle w:val="TEXTONORMAL"/>
        <w:numPr>
          <w:ilvl w:val="0"/>
          <w:numId w:val="67"/>
        </w:numPr>
        <w:rPr>
          <w:lang w:val="es-MX"/>
        </w:rPr>
      </w:pPr>
      <w:r w:rsidRPr="00C16E7C">
        <w:rPr>
          <w:lang w:val="es-MX"/>
        </w:rPr>
        <w:t>II. El H. Consejo Técnico, conformado por doce integrantes: cuatro representantes patronales, cuatro de los trabajadores y cuatro del Estado, con sus respectivos suplentes, con encargo de seis años con derecho a reelección, siendo sus principales funciones y atribuciones las siguientes:</w:t>
      </w:r>
    </w:p>
    <w:p w14:paraId="7513B10C" w14:textId="77777777" w:rsidR="009D5C48" w:rsidRPr="00C16E7C" w:rsidRDefault="009D5C48" w:rsidP="003F2A12">
      <w:pPr>
        <w:pStyle w:val="TEXTONORMAL"/>
        <w:numPr>
          <w:ilvl w:val="0"/>
          <w:numId w:val="9"/>
        </w:numPr>
        <w:ind w:left="998" w:hanging="284"/>
      </w:pPr>
      <w:r w:rsidRPr="00C16E7C">
        <w:t>Decidir sobre las inversiones de las reservas y demás recursos del Instituto.</w:t>
      </w:r>
    </w:p>
    <w:p w14:paraId="0F7C1239" w14:textId="77777777" w:rsidR="009D5C48" w:rsidRPr="00C16E7C" w:rsidRDefault="009D5C48" w:rsidP="003F2A12">
      <w:pPr>
        <w:pStyle w:val="TEXTONORMAL"/>
        <w:numPr>
          <w:ilvl w:val="0"/>
          <w:numId w:val="9"/>
        </w:numPr>
        <w:ind w:left="998" w:hanging="284"/>
      </w:pPr>
      <w:r w:rsidRPr="00C16E7C">
        <w:t>Vigilar y promover el equilibrio financiero de los seguros establecidos en la LSS.</w:t>
      </w:r>
    </w:p>
    <w:p w14:paraId="25D3C7BC" w14:textId="77777777" w:rsidR="009D5C48" w:rsidRPr="00C16E7C" w:rsidRDefault="009D5C48" w:rsidP="003F2A12">
      <w:pPr>
        <w:pStyle w:val="TEXTONORMAL"/>
        <w:numPr>
          <w:ilvl w:val="0"/>
          <w:numId w:val="9"/>
        </w:numPr>
        <w:ind w:left="998" w:hanging="284"/>
      </w:pPr>
      <w:r w:rsidRPr="00C16E7C">
        <w:t>Resolver sobre las operaciones del Instituto, exceptuando aquellas que por su importancia ameriten acuerdo expreso de la Asamblea General.</w:t>
      </w:r>
    </w:p>
    <w:p w14:paraId="48A24586" w14:textId="77777777" w:rsidR="009D5C48" w:rsidRPr="00C16E7C" w:rsidRDefault="009D5C48" w:rsidP="003F2A12">
      <w:pPr>
        <w:pStyle w:val="TEXTONORMAL"/>
        <w:numPr>
          <w:ilvl w:val="0"/>
          <w:numId w:val="9"/>
        </w:numPr>
        <w:ind w:left="998" w:hanging="284"/>
      </w:pPr>
      <w:r w:rsidRPr="00C16E7C">
        <w:t>Nombrar y remover al Secretario General, los Directores Normativos, Titulares de Unidad, Coordinadores Generales; así como a los Titulares de los Órganos de Operación Administrativa Desconcentrada.</w:t>
      </w:r>
    </w:p>
    <w:p w14:paraId="1451F16F" w14:textId="77777777" w:rsidR="009D5C48" w:rsidRPr="00C16E7C" w:rsidRDefault="009D5C48" w:rsidP="003F2A12">
      <w:pPr>
        <w:pStyle w:val="TEXTONORMAL"/>
        <w:numPr>
          <w:ilvl w:val="0"/>
          <w:numId w:val="9"/>
        </w:numPr>
        <w:ind w:left="998" w:hanging="284"/>
      </w:pPr>
      <w:r w:rsidRPr="00C16E7C">
        <w:t xml:space="preserve">Establecer procedimientos para la inscripción, cobro de cuotas y otorgamiento de prestaciones. </w:t>
      </w:r>
    </w:p>
    <w:p w14:paraId="26A7FB4E" w14:textId="77777777" w:rsidR="009D5C48" w:rsidRPr="00C16E7C" w:rsidRDefault="009D5C48" w:rsidP="003F2A12">
      <w:pPr>
        <w:pStyle w:val="TEXTONORMAL"/>
        <w:numPr>
          <w:ilvl w:val="0"/>
          <w:numId w:val="67"/>
        </w:numPr>
        <w:rPr>
          <w:lang w:val="es-MX"/>
        </w:rPr>
      </w:pPr>
      <w:r w:rsidRPr="00C16E7C">
        <w:rPr>
          <w:lang w:val="es-MX"/>
        </w:rPr>
        <w:t>III. La H. Comisión de Vigilancia, se integra por seis miembros titulares y sus suplentes designados por los tres sectores: un representante del Gobierno Federal el cual debe estar adscrito a la Secretaría de la Función Pública, el cargo es por seis años con derecho a reelección, siendo sus atribuciones principales las que a continuación se refieren:</w:t>
      </w:r>
    </w:p>
    <w:p w14:paraId="156099DC" w14:textId="77777777" w:rsidR="009D5C48" w:rsidRPr="00C16E7C" w:rsidRDefault="009D5C48" w:rsidP="003F2A12">
      <w:pPr>
        <w:pStyle w:val="TEXTONORMAL"/>
        <w:numPr>
          <w:ilvl w:val="0"/>
          <w:numId w:val="9"/>
        </w:numPr>
        <w:ind w:left="998" w:hanging="284"/>
      </w:pPr>
      <w:r w:rsidRPr="00C16E7C">
        <w:t>Vigilar que las inversiones se hagan de acuerdo a la LSS y sus Reglamentos.</w:t>
      </w:r>
    </w:p>
    <w:p w14:paraId="35FB3B14" w14:textId="77777777" w:rsidR="009D5C48" w:rsidRPr="00C16E7C" w:rsidRDefault="009D5C48" w:rsidP="003F2A12">
      <w:pPr>
        <w:pStyle w:val="TEXTONORMAL"/>
        <w:numPr>
          <w:ilvl w:val="0"/>
          <w:numId w:val="9"/>
        </w:numPr>
        <w:ind w:left="998" w:hanging="284"/>
      </w:pPr>
      <w:r w:rsidRPr="00C16E7C">
        <w:lastRenderedPageBreak/>
        <w:t>Practicar auditoría a los balances contables y al informe financiero y actuarial y comprobar los avalúos de los bienes materia de las operaciones del Instituto.</w:t>
      </w:r>
    </w:p>
    <w:p w14:paraId="021643EA" w14:textId="77777777" w:rsidR="009D5C48" w:rsidRPr="00C16E7C" w:rsidRDefault="009D5C48" w:rsidP="003F2A12">
      <w:pPr>
        <w:pStyle w:val="TEXTONORMAL"/>
        <w:numPr>
          <w:ilvl w:val="0"/>
          <w:numId w:val="9"/>
        </w:numPr>
        <w:ind w:left="998" w:hanging="284"/>
      </w:pPr>
      <w:r w:rsidRPr="00C16E7C">
        <w:t>Sugerir a la Asamblea General, al H. Consejo Técnico y a la Comisión Nacional del Sistema de Ahorro para el Retiro; y en su caso; las medidas para mejorar el funcionamiento de los seguros que ampara la LSS.</w:t>
      </w:r>
    </w:p>
    <w:p w14:paraId="2B380CB9" w14:textId="77777777" w:rsidR="001C58BB" w:rsidRPr="00274C14" w:rsidRDefault="009D5C48" w:rsidP="003F2A12">
      <w:pPr>
        <w:pStyle w:val="TEXTONORMAL"/>
        <w:numPr>
          <w:ilvl w:val="0"/>
          <w:numId w:val="9"/>
        </w:numPr>
        <w:ind w:left="998" w:hanging="284"/>
      </w:pPr>
      <w:r w:rsidRPr="00C16E7C">
        <w:t>Presentar a la Asamblea el dictamen sobre el informe de actividades y los Estados Financieros presentados por el H. Consejo Técnico.</w:t>
      </w:r>
    </w:p>
    <w:p w14:paraId="204CEF33" w14:textId="77777777" w:rsidR="00AE7030" w:rsidRDefault="00AE7030" w:rsidP="00274C14">
      <w:pPr>
        <w:pStyle w:val="TEXTONORMAL"/>
        <w:rPr>
          <w:rFonts w:cs="Arial"/>
          <w:b/>
        </w:rPr>
      </w:pPr>
    </w:p>
    <w:p w14:paraId="428147C7" w14:textId="77777777" w:rsidR="009D5C48" w:rsidRPr="00274C14" w:rsidRDefault="009D5C48" w:rsidP="003F2A12">
      <w:pPr>
        <w:pStyle w:val="TEXTONORMAL"/>
        <w:numPr>
          <w:ilvl w:val="0"/>
          <w:numId w:val="66"/>
        </w:numPr>
        <w:ind w:left="357" w:hanging="357"/>
        <w:rPr>
          <w:rFonts w:cs="Arial"/>
          <w:b/>
          <w:caps/>
        </w:rPr>
      </w:pPr>
      <w:r w:rsidRPr="00C16E7C">
        <w:rPr>
          <w:rFonts w:cs="Arial"/>
          <w:b/>
        </w:rPr>
        <w:t>Fideicomisos, mandatos y análogos</w:t>
      </w:r>
    </w:p>
    <w:tbl>
      <w:tblPr>
        <w:tblpPr w:leftFromText="141" w:rightFromText="141" w:vertAnchor="text" w:horzAnchor="margin" w:tblpXSpec="center" w:tblpY="58"/>
        <w:tblOverlap w:val="never"/>
        <w:tblW w:w="13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612"/>
        <w:gridCol w:w="6446"/>
      </w:tblGrid>
      <w:tr w:rsidR="009D5C48" w:rsidRPr="00F506A5" w14:paraId="7C97288E" w14:textId="77777777" w:rsidTr="00E4106E">
        <w:trPr>
          <w:trHeight w:val="359"/>
        </w:trPr>
        <w:tc>
          <w:tcPr>
            <w:tcW w:w="6612" w:type="dxa"/>
            <w:tcBorders>
              <w:top w:val="single" w:sz="12" w:space="0" w:color="808080"/>
              <w:left w:val="nil"/>
              <w:bottom w:val="double" w:sz="4" w:space="0" w:color="808080"/>
              <w:right w:val="nil"/>
            </w:tcBorders>
            <w:shd w:val="clear" w:color="auto" w:fill="D4C19C"/>
            <w:vAlign w:val="center"/>
          </w:tcPr>
          <w:p w14:paraId="74AB655F" w14:textId="77777777" w:rsidR="009D5C48" w:rsidRPr="006B5F94" w:rsidRDefault="009D5C48" w:rsidP="00D51262">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w:t>
            </w:r>
            <w:r w:rsidR="00DB0459">
              <w:rPr>
                <w:rFonts w:ascii="Montserrat" w:eastAsia="Times New Roman" w:hAnsi="Montserrat"/>
                <w:b/>
                <w:bCs/>
                <w:color w:val="FFFFFF"/>
                <w:sz w:val="16"/>
                <w:szCs w:val="16"/>
                <w:lang w:eastAsia="es-MX"/>
              </w:rPr>
              <w:t>ideicomiso</w:t>
            </w:r>
          </w:p>
        </w:tc>
        <w:tc>
          <w:tcPr>
            <w:tcW w:w="6446" w:type="dxa"/>
            <w:tcBorders>
              <w:top w:val="single" w:sz="12" w:space="0" w:color="808080"/>
              <w:left w:val="nil"/>
              <w:bottom w:val="double" w:sz="4" w:space="0" w:color="808080"/>
              <w:right w:val="nil"/>
            </w:tcBorders>
            <w:shd w:val="clear" w:color="auto" w:fill="D4C19C"/>
            <w:vAlign w:val="center"/>
          </w:tcPr>
          <w:p w14:paraId="6E5CE3AC" w14:textId="77777777" w:rsidR="009D5C48" w:rsidRPr="006B5F94" w:rsidRDefault="009D5C48" w:rsidP="00D51262">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w:t>
            </w:r>
            <w:r w:rsidR="00DB0459">
              <w:rPr>
                <w:rFonts w:ascii="Montserrat" w:eastAsia="Times New Roman" w:hAnsi="Montserrat"/>
                <w:b/>
                <w:bCs/>
                <w:color w:val="FFFFFF"/>
                <w:sz w:val="16"/>
                <w:szCs w:val="16"/>
                <w:lang w:eastAsia="es-MX"/>
              </w:rPr>
              <w:t>bjeto</w:t>
            </w:r>
          </w:p>
        </w:tc>
      </w:tr>
      <w:tr w:rsidR="009D5C48" w:rsidRPr="00F506A5" w14:paraId="519BE09E" w14:textId="77777777" w:rsidTr="00E4106E">
        <w:trPr>
          <w:trHeight w:val="241"/>
        </w:trPr>
        <w:tc>
          <w:tcPr>
            <w:tcW w:w="6612" w:type="dxa"/>
            <w:tcBorders>
              <w:top w:val="double" w:sz="4" w:space="0" w:color="808080"/>
              <w:left w:val="nil"/>
              <w:bottom w:val="nil"/>
              <w:right w:val="nil"/>
            </w:tcBorders>
            <w:shd w:val="clear" w:color="auto" w:fill="F2F2F2"/>
            <w:vAlign w:val="center"/>
          </w:tcPr>
          <w:p w14:paraId="4DFBBF27" w14:textId="77777777" w:rsidR="009D5C48" w:rsidRPr="00B51314" w:rsidRDefault="009D5C48" w:rsidP="00B51314">
            <w:pPr>
              <w:spacing w:after="0" w:line="240" w:lineRule="exact"/>
              <w:rPr>
                <w:rFonts w:ascii="Montserrat" w:eastAsia="Times New Roman" w:hAnsi="Montserrat"/>
                <w:b/>
                <w:bCs/>
                <w:color w:val="000000"/>
                <w:sz w:val="15"/>
                <w:szCs w:val="15"/>
                <w:lang w:eastAsia="es-MX"/>
              </w:rPr>
            </w:pPr>
            <w:r w:rsidRPr="00B51314">
              <w:rPr>
                <w:rFonts w:ascii="Montserrat" w:eastAsia="Times New Roman" w:hAnsi="Montserrat"/>
                <w:color w:val="000000"/>
                <w:sz w:val="15"/>
                <w:szCs w:val="15"/>
                <w:lang w:eastAsia="es-MX"/>
              </w:rPr>
              <w:t>Fideicomiso para el Desarrollo del Deporte (FIDEIMSS)</w:t>
            </w:r>
          </w:p>
        </w:tc>
        <w:tc>
          <w:tcPr>
            <w:tcW w:w="6446" w:type="dxa"/>
            <w:tcBorders>
              <w:top w:val="double" w:sz="4" w:space="0" w:color="808080"/>
              <w:left w:val="nil"/>
              <w:bottom w:val="nil"/>
              <w:right w:val="nil"/>
            </w:tcBorders>
            <w:shd w:val="clear" w:color="auto" w:fill="F2F2F2"/>
            <w:vAlign w:val="center"/>
          </w:tcPr>
          <w:p w14:paraId="4DE126D7"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entorno nacional e internacional</w:t>
            </w:r>
          </w:p>
        </w:tc>
      </w:tr>
      <w:tr w:rsidR="009D5C48" w:rsidRPr="00F506A5" w14:paraId="3F527D27" w14:textId="77777777" w:rsidTr="00E4106E">
        <w:trPr>
          <w:trHeight w:val="241"/>
        </w:trPr>
        <w:tc>
          <w:tcPr>
            <w:tcW w:w="6612" w:type="dxa"/>
            <w:tcBorders>
              <w:top w:val="nil"/>
              <w:left w:val="nil"/>
              <w:bottom w:val="nil"/>
              <w:right w:val="nil"/>
            </w:tcBorders>
            <w:shd w:val="clear" w:color="auto" w:fill="F2F2F2"/>
            <w:vAlign w:val="center"/>
          </w:tcPr>
          <w:p w14:paraId="6404F76C"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Administración de Teatros y Salas de Espectáculos del IMSS</w:t>
            </w:r>
          </w:p>
        </w:tc>
        <w:tc>
          <w:tcPr>
            <w:tcW w:w="6446" w:type="dxa"/>
            <w:tcBorders>
              <w:top w:val="nil"/>
              <w:left w:val="nil"/>
              <w:bottom w:val="nil"/>
              <w:right w:val="nil"/>
            </w:tcBorders>
            <w:shd w:val="clear" w:color="auto" w:fill="F2F2F2"/>
            <w:vAlign w:val="center"/>
          </w:tcPr>
          <w:p w14:paraId="2D94C4E6"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9D5C48" w:rsidRPr="00F506A5" w14:paraId="4E754845" w14:textId="77777777" w:rsidTr="00E4106E">
        <w:trPr>
          <w:trHeight w:val="241"/>
        </w:trPr>
        <w:tc>
          <w:tcPr>
            <w:tcW w:w="6612" w:type="dxa"/>
            <w:tcBorders>
              <w:top w:val="nil"/>
              <w:left w:val="nil"/>
              <w:bottom w:val="nil"/>
              <w:right w:val="nil"/>
            </w:tcBorders>
            <w:shd w:val="clear" w:color="auto" w:fill="F2F2F2"/>
            <w:vAlign w:val="center"/>
          </w:tcPr>
          <w:p w14:paraId="5A981396"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Beneficios Sociales (FIBESO)</w:t>
            </w:r>
          </w:p>
        </w:tc>
        <w:tc>
          <w:tcPr>
            <w:tcW w:w="6446" w:type="dxa"/>
            <w:tcBorders>
              <w:top w:val="nil"/>
              <w:left w:val="nil"/>
              <w:bottom w:val="nil"/>
              <w:right w:val="nil"/>
            </w:tcBorders>
            <w:shd w:val="clear" w:color="auto" w:fill="F2F2F2"/>
            <w:vAlign w:val="center"/>
          </w:tcPr>
          <w:p w14:paraId="17345A34"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9D5C48" w:rsidRPr="00F506A5" w14:paraId="4DD28E1E" w14:textId="77777777" w:rsidTr="00E4106E">
        <w:trPr>
          <w:trHeight w:val="241"/>
        </w:trPr>
        <w:tc>
          <w:tcPr>
            <w:tcW w:w="6612" w:type="dxa"/>
            <w:tcBorders>
              <w:top w:val="nil"/>
              <w:left w:val="nil"/>
              <w:bottom w:val="nil"/>
              <w:right w:val="nil"/>
            </w:tcBorders>
            <w:shd w:val="clear" w:color="auto" w:fill="F2F2F2"/>
            <w:vAlign w:val="center"/>
          </w:tcPr>
          <w:p w14:paraId="04624E92"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Fondo para Ayudas Extraordinarias con motivo del incendio de la Guardería ABC</w:t>
            </w:r>
          </w:p>
        </w:tc>
        <w:tc>
          <w:tcPr>
            <w:tcW w:w="6446" w:type="dxa"/>
            <w:tcBorders>
              <w:top w:val="nil"/>
              <w:left w:val="nil"/>
              <w:bottom w:val="nil"/>
              <w:right w:val="nil"/>
            </w:tcBorders>
            <w:shd w:val="clear" w:color="auto" w:fill="F2F2F2"/>
            <w:vAlign w:val="center"/>
          </w:tcPr>
          <w:p w14:paraId="4A6CDFCD"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Apoyo a las madres de los menores fallecidos y de los lesionados por quemaduras y, a falta de ella, la persona que en lo futuro cuide de ellos</w:t>
            </w:r>
          </w:p>
        </w:tc>
      </w:tr>
      <w:tr w:rsidR="00DA6496" w:rsidRPr="00F506A5" w14:paraId="744292B2" w14:textId="77777777" w:rsidTr="00E4106E">
        <w:trPr>
          <w:trHeight w:val="93"/>
        </w:trPr>
        <w:tc>
          <w:tcPr>
            <w:tcW w:w="6612" w:type="dxa"/>
            <w:tcBorders>
              <w:top w:val="nil"/>
              <w:left w:val="nil"/>
              <w:bottom w:val="single" w:sz="12" w:space="0" w:color="808080"/>
              <w:right w:val="nil"/>
            </w:tcBorders>
            <w:shd w:val="clear" w:color="auto" w:fill="F2F2F2"/>
            <w:vAlign w:val="center"/>
          </w:tcPr>
          <w:p w14:paraId="21A2FC27" w14:textId="77777777"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Irrevocable de Administración e Inversión Niña del Milenio</w:t>
            </w:r>
          </w:p>
        </w:tc>
        <w:tc>
          <w:tcPr>
            <w:tcW w:w="6446" w:type="dxa"/>
            <w:tcBorders>
              <w:top w:val="nil"/>
              <w:left w:val="nil"/>
              <w:bottom w:val="single" w:sz="12" w:space="0" w:color="808080"/>
              <w:right w:val="nil"/>
            </w:tcBorders>
            <w:shd w:val="clear" w:color="auto" w:fill="F2F2F2"/>
            <w:vAlign w:val="center"/>
          </w:tcPr>
          <w:p w14:paraId="04B02330" w14:textId="77777777"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w:t>
            </w:r>
            <w:r>
              <w:rPr>
                <w:rFonts w:ascii="Montserrat" w:eastAsia="Times New Roman" w:hAnsi="Montserrat"/>
                <w:color w:val="000000"/>
                <w:sz w:val="15"/>
                <w:szCs w:val="15"/>
                <w:lang w:eastAsia="es-MX"/>
              </w:rPr>
              <w:t>limentación, vestido y educación</w:t>
            </w:r>
          </w:p>
        </w:tc>
      </w:tr>
    </w:tbl>
    <w:p w14:paraId="3902A196" w14:textId="77777777" w:rsidR="008446D6" w:rsidRPr="003B76F0" w:rsidRDefault="008446D6" w:rsidP="009D5C48">
      <w:pPr>
        <w:pStyle w:val="TEXTONORMAL"/>
      </w:pPr>
    </w:p>
    <w:p w14:paraId="34FDD920" w14:textId="77777777" w:rsidR="009D5C48" w:rsidRPr="00E9149B" w:rsidRDefault="009D5C48" w:rsidP="003F2A12">
      <w:pPr>
        <w:pStyle w:val="VIETAFLECHA"/>
        <w:numPr>
          <w:ilvl w:val="0"/>
          <w:numId w:val="69"/>
        </w:numPr>
        <w:ind w:left="357" w:hanging="357"/>
      </w:pPr>
      <w:r w:rsidRPr="00E9149B">
        <w:t>Propósito de los Estados Financieros</w:t>
      </w:r>
    </w:p>
    <w:p w14:paraId="097F6E1B" w14:textId="77777777" w:rsidR="0023717F" w:rsidRDefault="009D5C48" w:rsidP="009D5C48">
      <w:pPr>
        <w:pStyle w:val="TEXTONORMAL"/>
      </w:pPr>
      <w:r>
        <w:t>Los E</w:t>
      </w:r>
      <w:r w:rsidRPr="003320B9">
        <w:t xml:space="preserve">stados </w:t>
      </w:r>
      <w:r>
        <w:t>F</w:t>
      </w:r>
      <w:r w:rsidRPr="003320B9">
        <w:t xml:space="preserve">inancieros al </w:t>
      </w:r>
      <w:r w:rsidR="00B035FC">
        <w:t xml:space="preserve">30 de </w:t>
      </w:r>
      <w:r w:rsidR="00D11254">
        <w:t>septiembre</w:t>
      </w:r>
      <w:r w:rsidR="00B035FC">
        <w:t xml:space="preserve"> </w:t>
      </w:r>
      <w:r w:rsidRPr="003320B9">
        <w:t>de 20</w:t>
      </w:r>
      <w:r>
        <w:t>2</w:t>
      </w:r>
      <w:r w:rsidR="00DA6496">
        <w:t>2</w:t>
      </w:r>
      <w:r w:rsidRPr="003320B9">
        <w:t xml:space="preserve"> y </w:t>
      </w:r>
      <w:r w:rsidR="00DA6496">
        <w:t xml:space="preserve">31 de diciembre </w:t>
      </w:r>
      <w:r w:rsidRPr="003320B9">
        <w:t>20</w:t>
      </w:r>
      <w:r>
        <w:t>2</w:t>
      </w:r>
      <w:r w:rsidR="009E79C9">
        <w:t>1</w:t>
      </w:r>
      <w:r w:rsidRPr="003320B9">
        <w:t xml:space="preserve"> han sido preparados para cumplir con los requerimientos normativos gubernamentales a que está sujeto el Instituto, y están presentados en los formatos de la cuenta pública que para tal efecto fueron establecidos por la</w:t>
      </w:r>
      <w:r>
        <w:t xml:space="preserve"> UCG de la SHCP</w:t>
      </w:r>
      <w:r w:rsidRPr="003320B9">
        <w:t>.</w:t>
      </w:r>
    </w:p>
    <w:p w14:paraId="78AFAE3D" w14:textId="77777777" w:rsidR="009D5C48" w:rsidRPr="00E9149B" w:rsidRDefault="009D5C48" w:rsidP="003F2A12">
      <w:pPr>
        <w:pStyle w:val="VIETAFLECHA"/>
        <w:numPr>
          <w:ilvl w:val="0"/>
          <w:numId w:val="69"/>
        </w:numPr>
        <w:ind w:left="357" w:hanging="357"/>
      </w:pPr>
      <w:r w:rsidRPr="00E9149B">
        <w:t>Bases para la preparación de la información financiera</w:t>
      </w:r>
    </w:p>
    <w:p w14:paraId="06BC4F5A" w14:textId="77777777" w:rsidR="009D5C48" w:rsidRDefault="009D5C48" w:rsidP="009D5C48">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14:paraId="013CE679" w14:textId="77777777" w:rsidR="009D5C48" w:rsidRPr="007447E9" w:rsidRDefault="009D5C48" w:rsidP="003F2A12">
      <w:pPr>
        <w:pStyle w:val="TEXTONORMAL"/>
        <w:numPr>
          <w:ilvl w:val="0"/>
          <w:numId w:val="70"/>
        </w:numPr>
      </w:pPr>
      <w:r w:rsidRPr="007447E9">
        <w:t>La normatividad emitida por las unidades administrativas o instancias competentes en materia de contabilidad gubernamental;</w:t>
      </w:r>
    </w:p>
    <w:p w14:paraId="18625AF8" w14:textId="77777777" w:rsidR="009D5C48" w:rsidRPr="007447E9" w:rsidRDefault="009D5C48" w:rsidP="003F2A12">
      <w:pPr>
        <w:pStyle w:val="TEXTONORMAL"/>
        <w:numPr>
          <w:ilvl w:val="0"/>
          <w:numId w:val="70"/>
        </w:numPr>
      </w:pPr>
      <w:r w:rsidRPr="007447E9">
        <w:t xml:space="preserve">Las normas internacionales de contabilidad para el sector público emitidas por la junta de normas internacionales de contabilidad del sector público; </w:t>
      </w:r>
    </w:p>
    <w:p w14:paraId="1048999D" w14:textId="77777777" w:rsidR="009D5C48" w:rsidRPr="007447E9" w:rsidRDefault="009D5C48" w:rsidP="003F2A12">
      <w:pPr>
        <w:pStyle w:val="TEXTONORMAL"/>
        <w:numPr>
          <w:ilvl w:val="0"/>
          <w:numId w:val="70"/>
        </w:numPr>
      </w:pPr>
      <w:r w:rsidRPr="007447E9">
        <w:t xml:space="preserve">Las normas de información financiera del Consejo Mexicano de Normas de Información Financiera, A. C. </w:t>
      </w:r>
    </w:p>
    <w:p w14:paraId="4C39DFE2" w14:textId="77777777" w:rsidR="009D5C48" w:rsidRDefault="009D5C48" w:rsidP="009D5C48">
      <w:pPr>
        <w:pStyle w:val="TEXTONORMAL"/>
      </w:pPr>
      <w:r>
        <w:lastRenderedPageBreak/>
        <w:t>Los Estados F</w:t>
      </w:r>
      <w:r w:rsidRPr="003320B9">
        <w:t>inancieros adjuntos han sido específicamente elaborados para su presentación al H. Consejo Técnico y a la Asamblea General del Instituto, SHCP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14:paraId="634EBA01" w14:textId="77777777" w:rsidR="009D5C48" w:rsidRPr="00746637" w:rsidRDefault="009D5C48" w:rsidP="003F2A12">
      <w:pPr>
        <w:pStyle w:val="TEXTONORMAL"/>
        <w:numPr>
          <w:ilvl w:val="0"/>
          <w:numId w:val="70"/>
        </w:numPr>
        <w:rPr>
          <w:lang w:val="es-MX"/>
        </w:rPr>
      </w:pPr>
      <w:r w:rsidRPr="00746637">
        <w:rPr>
          <w:lang w:val="es-MX"/>
        </w:rPr>
        <w:t>Ley General de Contabilidad Gubernamental</w:t>
      </w:r>
      <w:r>
        <w:rPr>
          <w:lang w:val="es-MX"/>
        </w:rPr>
        <w:t>;</w:t>
      </w:r>
    </w:p>
    <w:p w14:paraId="5E4292E0" w14:textId="77777777" w:rsidR="009D5C48" w:rsidRPr="007447E9" w:rsidRDefault="009D5C48" w:rsidP="003F2A12">
      <w:pPr>
        <w:pStyle w:val="TEXTONORMAL"/>
        <w:numPr>
          <w:ilvl w:val="0"/>
          <w:numId w:val="70"/>
        </w:numPr>
        <w:rPr>
          <w:lang w:val="es-MX"/>
        </w:rPr>
      </w:pPr>
      <w:r w:rsidRPr="00746637">
        <w:rPr>
          <w:lang w:val="es-MX"/>
        </w:rPr>
        <w:t>La Normatividad emitida por el Consejo Na</w:t>
      </w:r>
      <w:r>
        <w:rPr>
          <w:lang w:val="es-MX"/>
        </w:rPr>
        <w:t>cional de Armonización Contable, y</w:t>
      </w:r>
    </w:p>
    <w:p w14:paraId="3B098566" w14:textId="77777777" w:rsidR="009D5C48" w:rsidRPr="00746637" w:rsidRDefault="009D5C48" w:rsidP="003F2A12">
      <w:pPr>
        <w:pStyle w:val="TEXTONORMAL"/>
        <w:numPr>
          <w:ilvl w:val="0"/>
          <w:numId w:val="70"/>
        </w:numPr>
        <w:rPr>
          <w:lang w:val="es-MX"/>
        </w:rPr>
      </w:pPr>
      <w:r w:rsidRPr="00746637">
        <w:rPr>
          <w:lang w:val="es-MX"/>
        </w:rPr>
        <w:t xml:space="preserve">MCGSPF, emitido por la </w:t>
      </w:r>
      <w:r>
        <w:rPr>
          <w:lang w:val="es-MX"/>
        </w:rPr>
        <w:t xml:space="preserve">UCG </w:t>
      </w:r>
      <w:r w:rsidRPr="00746637">
        <w:rPr>
          <w:lang w:val="es-MX"/>
        </w:rPr>
        <w:t>de la SHCP</w:t>
      </w:r>
      <w:r>
        <w:rPr>
          <w:lang w:val="es-MX"/>
        </w:rPr>
        <w:t>.</w:t>
      </w:r>
    </w:p>
    <w:p w14:paraId="774F74B7" w14:textId="77777777" w:rsidR="009D5C48" w:rsidRDefault="009D5C48" w:rsidP="009D5C48">
      <w:pPr>
        <w:pStyle w:val="TEXTONORMAL"/>
      </w:pPr>
      <w:r>
        <w:t>Dado lo anterior, el Instituto ha armonizado los registros contables en su Plan de cuentas y la estructura de los Estados Financieros con base en el MCGSPF, emitido por la UCG de la SHCP.</w:t>
      </w:r>
    </w:p>
    <w:p w14:paraId="3E3D8871" w14:textId="77777777" w:rsidR="009D5C48" w:rsidRPr="003D23CB" w:rsidRDefault="009D5C48" w:rsidP="009D5C48">
      <w:pPr>
        <w:pStyle w:val="TEXTONORMAL"/>
      </w:pPr>
      <w:r w:rsidRPr="003D23CB">
        <w:t>En el capítulo IV, el MCGSPF establece la normatividad</w:t>
      </w:r>
      <w:r w:rsidR="001A73ED">
        <w:t xml:space="preserve"> contable correspondiente a los </w:t>
      </w:r>
      <w:r w:rsidR="004C1A21">
        <w:t>“</w:t>
      </w:r>
      <w:r w:rsidR="001A73ED">
        <w:t xml:space="preserve">Lineamientos </w:t>
      </w:r>
      <w:r w:rsidR="004C1A21">
        <w:t>C</w:t>
      </w:r>
      <w:r w:rsidR="001A73ED">
        <w:t>ontables</w:t>
      </w:r>
      <w:r w:rsidR="004C1A21">
        <w:t>”</w:t>
      </w:r>
      <w:r w:rsidR="001A73ED">
        <w:t xml:space="preserve">, </w:t>
      </w:r>
      <w:r w:rsidRPr="003D23CB">
        <w:t xml:space="preserve">mismas que estuvieron vigentes </w:t>
      </w:r>
      <w:r>
        <w:t>durante</w:t>
      </w:r>
      <w:r w:rsidRPr="003D23CB">
        <w:t xml:space="preserve"> 202</w:t>
      </w:r>
      <w:r w:rsidR="00327B25">
        <w:t>2</w:t>
      </w:r>
      <w:r w:rsidRPr="003D23CB">
        <w:t>:</w:t>
      </w:r>
    </w:p>
    <w:p w14:paraId="59A8298C" w14:textId="77777777" w:rsidR="009D5C48" w:rsidRPr="003D23CB" w:rsidRDefault="001A73ED" w:rsidP="003F2A12">
      <w:pPr>
        <w:pStyle w:val="TEXTONORMAL"/>
        <w:numPr>
          <w:ilvl w:val="0"/>
          <w:numId w:val="70"/>
        </w:numPr>
      </w:pPr>
      <w:r>
        <w:t xml:space="preserve">A. </w:t>
      </w:r>
      <w:r w:rsidR="009D5C48" w:rsidRPr="003D23CB">
        <w:t xml:space="preserve"> “Control Presupuestario de los Ingresos y de los Gastos”</w:t>
      </w:r>
    </w:p>
    <w:p w14:paraId="234EB92D" w14:textId="77777777" w:rsidR="009D5C48" w:rsidRPr="003D23CB" w:rsidRDefault="001A73ED" w:rsidP="003F2A12">
      <w:pPr>
        <w:pStyle w:val="TEXTONORMAL"/>
        <w:numPr>
          <w:ilvl w:val="0"/>
          <w:numId w:val="70"/>
        </w:numPr>
      </w:pPr>
      <w:r>
        <w:t xml:space="preserve">B. </w:t>
      </w:r>
      <w:r w:rsidR="009D5C48" w:rsidRPr="003D23CB">
        <w:t xml:space="preserve"> “Subsidios</w:t>
      </w:r>
      <w:r>
        <w:t>, Apoyos Fiscales</w:t>
      </w:r>
      <w:r w:rsidR="009D5C48" w:rsidRPr="003D23CB">
        <w:t xml:space="preserve"> y Transferencias Corrientes y de Capital en sus Diferentes Modalidades”</w:t>
      </w:r>
    </w:p>
    <w:p w14:paraId="1E22BA9B" w14:textId="77777777" w:rsidR="009D5C48" w:rsidRPr="003D23CB" w:rsidRDefault="001A73ED" w:rsidP="003F2A12">
      <w:pPr>
        <w:pStyle w:val="TEXTONORMAL"/>
        <w:numPr>
          <w:ilvl w:val="0"/>
          <w:numId w:val="70"/>
        </w:numPr>
      </w:pPr>
      <w:r>
        <w:t xml:space="preserve">C. </w:t>
      </w:r>
      <w:r w:rsidR="009D5C48" w:rsidRPr="003D23CB">
        <w:t xml:space="preserve"> “Estimación de Cuentas Incobrables”</w:t>
      </w:r>
    </w:p>
    <w:p w14:paraId="355D9C2F" w14:textId="77777777" w:rsidR="009D5C48" w:rsidRPr="003D23CB" w:rsidRDefault="001A73ED" w:rsidP="003F2A12">
      <w:pPr>
        <w:pStyle w:val="TEXTONORMAL"/>
        <w:numPr>
          <w:ilvl w:val="0"/>
          <w:numId w:val="70"/>
        </w:numPr>
      </w:pPr>
      <w:r>
        <w:t xml:space="preserve">D </w:t>
      </w:r>
      <w:r w:rsidR="009D5C48" w:rsidRPr="003D23CB">
        <w:t xml:space="preserve"> “Obligaciones Laborales”</w:t>
      </w:r>
    </w:p>
    <w:p w14:paraId="633D82AD" w14:textId="77777777" w:rsidR="009D5C48" w:rsidRPr="003D23CB" w:rsidRDefault="001A73ED" w:rsidP="003F2A12">
      <w:pPr>
        <w:pStyle w:val="TEXTONORMAL"/>
        <w:numPr>
          <w:ilvl w:val="0"/>
          <w:numId w:val="70"/>
        </w:numPr>
      </w:pPr>
      <w:r>
        <w:t xml:space="preserve">F </w:t>
      </w:r>
      <w:r w:rsidR="009D5C48" w:rsidRPr="003D23CB">
        <w:t xml:space="preserve"> “Arrendamiento Financiero”</w:t>
      </w:r>
    </w:p>
    <w:p w14:paraId="49CB0B40" w14:textId="77777777" w:rsidR="009D5C48" w:rsidRPr="003D23CB" w:rsidRDefault="009D5C48" w:rsidP="003F2A12">
      <w:pPr>
        <w:pStyle w:val="TEXTONORMAL"/>
        <w:numPr>
          <w:ilvl w:val="0"/>
          <w:numId w:val="70"/>
        </w:numPr>
      </w:pPr>
      <w:r w:rsidRPr="003D23CB">
        <w:t>NACG 01 “Norma del Archivo Contable Gubernamental”</w:t>
      </w:r>
    </w:p>
    <w:p w14:paraId="0D7B7F61" w14:textId="77777777" w:rsidR="009D5C48" w:rsidRPr="00DD559D" w:rsidRDefault="009D5C48" w:rsidP="009D5C48">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14:paraId="55D259A5" w14:textId="77777777" w:rsidR="009D5C48" w:rsidRDefault="009D5C48" w:rsidP="009D5C48">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14:paraId="01C5EBA2" w14:textId="77777777" w:rsidR="009D5C48" w:rsidRPr="007447E9" w:rsidRDefault="009D5C48" w:rsidP="003F2A12">
      <w:pPr>
        <w:pStyle w:val="VIETAFLECHA"/>
        <w:numPr>
          <w:ilvl w:val="0"/>
          <w:numId w:val="69"/>
        </w:numPr>
        <w:ind w:left="357" w:hanging="357"/>
        <w:rPr>
          <w:b/>
        </w:rPr>
      </w:pPr>
      <w:r w:rsidRPr="007447E9">
        <w:rPr>
          <w:b/>
        </w:rPr>
        <w:t>Diferencias entre las bases contables utilizadas por el Instituto y las NIF</w:t>
      </w:r>
    </w:p>
    <w:p w14:paraId="20ED4D6A" w14:textId="77777777" w:rsidR="009D5C48" w:rsidRPr="00C94CCF" w:rsidRDefault="009D5C48" w:rsidP="003F2A12">
      <w:pPr>
        <w:pStyle w:val="TEXTONORMAL"/>
        <w:numPr>
          <w:ilvl w:val="0"/>
          <w:numId w:val="71"/>
        </w:numPr>
        <w:rPr>
          <w:lang w:val="es-MX"/>
        </w:rPr>
      </w:pPr>
      <w:r w:rsidRPr="00C94CCF">
        <w:rPr>
          <w:lang w:val="es-MX"/>
        </w:rPr>
        <w:t>Inmuebles, mobiliario y equipo</w:t>
      </w:r>
    </w:p>
    <w:p w14:paraId="4ABFB1C1" w14:textId="77777777" w:rsidR="009D5C48" w:rsidRPr="00C94CCF" w:rsidRDefault="009D5C48" w:rsidP="003F2A12">
      <w:pPr>
        <w:pStyle w:val="TEXTONORMAL"/>
        <w:numPr>
          <w:ilvl w:val="0"/>
          <w:numId w:val="72"/>
        </w:numPr>
        <w:ind w:left="998" w:hanging="284"/>
      </w:pPr>
      <w:r w:rsidRPr="00C94CCF">
        <w:t>Reconocimiento de los efectos de la inflación</w:t>
      </w:r>
    </w:p>
    <w:p w14:paraId="37130637" w14:textId="77777777" w:rsidR="009D5C48" w:rsidRPr="007447E9" w:rsidRDefault="009D5C48" w:rsidP="009D5C48">
      <w:pPr>
        <w:pStyle w:val="TEXTONORMAL"/>
      </w:pPr>
      <w:r w:rsidRPr="00D254D7">
        <w:t xml:space="preserve">La NIF B-10 “Efectos de la Inflación” y la </w:t>
      </w:r>
      <w:bookmarkStart w:id="2" w:name="OLE_LINK13"/>
      <w:bookmarkStart w:id="3" w:name="OLE_LINK10"/>
      <w:r w:rsidRPr="00D254D7">
        <w:t>NIFGG SP 04 “</w:t>
      </w:r>
      <w:proofErr w:type="spellStart"/>
      <w:r w:rsidRPr="00D254D7">
        <w:t>Reexpresión</w:t>
      </w:r>
      <w:proofErr w:type="spellEnd"/>
      <w:r w:rsidRPr="00D254D7">
        <w:t>”</w:t>
      </w:r>
      <w:bookmarkEnd w:id="2"/>
      <w:bookmarkEnd w:id="3"/>
      <w:r w:rsidRPr="00D254D7">
        <w:t>, reconocen que la entidad debe mantener en sus activos, pasivos y capital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14:paraId="6FE2424C" w14:textId="77777777" w:rsidR="009D5C48" w:rsidRDefault="009D5C48" w:rsidP="009D5C48">
      <w:pPr>
        <w:pStyle w:val="TEXTONORMAL"/>
      </w:pPr>
      <w:r>
        <w:t>No obstante que la NIFGG SP 04 “</w:t>
      </w:r>
      <w:proofErr w:type="spellStart"/>
      <w:r>
        <w:t>Reexpresión</w:t>
      </w:r>
      <w:proofErr w:type="spellEnd"/>
      <w:r>
        <w:t xml:space="preserve">” estuvo vigente hasta el 2019, las Reglas Específicas del Registro y Valoración del Patrimonio emitidas por el CONAC señalan que atendiendo a la Norma Internacional de Contabilidad del Sector Público NICS 10 “Información Financiera en </w:t>
      </w:r>
      <w:r>
        <w:lastRenderedPageBreak/>
        <w:t>Economías Hiperinflacionarias”, se deberá actualizar el patrimonio cuando el Índice Nacional de Precios al Consumidor acumulada durante un periodo de tres años sea igual o superior al 100%.</w:t>
      </w:r>
    </w:p>
    <w:p w14:paraId="5616410A" w14:textId="77777777" w:rsidR="009D5C48" w:rsidRDefault="009D5C48" w:rsidP="009D5C48">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14:paraId="2EC9F7F9" w14:textId="77777777" w:rsidR="009D5C48" w:rsidRDefault="009D5C48" w:rsidP="009D5C48">
      <w:pPr>
        <w:pStyle w:val="TEXTONORMAL"/>
      </w:pPr>
      <w:r>
        <w:t xml:space="preserve">La política contable que mantiene el Instituto sobre la depreciación de los efectos de la inflación reconocidos hasta el 31 de diciembre de 2007, se basa en depreciar sus activos fijos considerando únicamente los valores históricos y cancelando los efectos de </w:t>
      </w:r>
      <w:proofErr w:type="spellStart"/>
      <w:r>
        <w:t>reexpresión</w:t>
      </w:r>
      <w:proofErr w:type="spellEnd"/>
      <w:r>
        <w:t xml:space="preserve"> cuando el activo se deprecia totalmente, se deteriora o se vende.</w:t>
      </w:r>
    </w:p>
    <w:p w14:paraId="153ACF0C" w14:textId="77777777" w:rsidR="009D5C48" w:rsidRDefault="009D5C48" w:rsidP="009D5C48">
      <w:pPr>
        <w:pStyle w:val="TEXTONORMAL"/>
      </w:pPr>
      <w:r>
        <w:t>Para la depreciación del ejercicio 202</w:t>
      </w:r>
      <w:r w:rsidR="003B3A42">
        <w:t>2</w:t>
      </w:r>
      <w:r>
        <w:t xml:space="preserve"> y 202</w:t>
      </w:r>
      <w:r w:rsidR="003B3A42">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0C25ACB2" w14:textId="77777777" w:rsidR="009D5C48" w:rsidRPr="00C94CCF" w:rsidRDefault="009D5C48" w:rsidP="003F2A12">
      <w:pPr>
        <w:pStyle w:val="TEXTONORMAL"/>
        <w:numPr>
          <w:ilvl w:val="0"/>
          <w:numId w:val="72"/>
        </w:numPr>
        <w:ind w:left="998" w:hanging="284"/>
      </w:pPr>
      <w:r w:rsidRPr="00C94CCF">
        <w:t>Resultado integral de financiamiento</w:t>
      </w:r>
    </w:p>
    <w:p w14:paraId="1C5ED805" w14:textId="77777777" w:rsidR="009D5C48" w:rsidRPr="003D23CB" w:rsidRDefault="009D5C48" w:rsidP="00C3324D">
      <w:pPr>
        <w:pStyle w:val="TEXTONORMAL"/>
      </w:pPr>
      <w:r w:rsidRPr="003D23CB">
        <w:t xml:space="preserve">La NIFGG SP 04 “Apartado A”, establece que las fluctuaciones cambiarias y los intereses derivados de pasivos identificables con activos fijos, se consideren como parte del valor actualizado de 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14:paraId="7D9209DC" w14:textId="77777777" w:rsidR="009D5C48" w:rsidRPr="003D23CB" w:rsidRDefault="009D5C48" w:rsidP="00C3324D">
      <w:pPr>
        <w:autoSpaceDE w:val="0"/>
        <w:autoSpaceDN w:val="0"/>
        <w:adjustRightInd w:val="0"/>
        <w:spacing w:after="120" w:line="250" w:lineRule="exact"/>
        <w:jc w:val="both"/>
        <w:rPr>
          <w:rFonts w:ascii="Montserrat" w:hAnsi="Montserrat"/>
          <w:sz w:val="18"/>
          <w:szCs w:val="18"/>
        </w:rPr>
      </w:pPr>
      <w:r w:rsidRPr="003D23CB">
        <w:rPr>
          <w:rFonts w:ascii="Montserrat" w:hAnsi="Montserrat"/>
          <w:sz w:val="18"/>
          <w:szCs w:val="18"/>
        </w:rPr>
        <w:t>A partir del ejercicio de 2020 queda sin efecto la NIFGG SP 04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y el criterio aplicable será el establecido en las Reglas Específicas del Registro y Valoración del Patrimonio aprobadas por el Consejo Nacional de Armonización Contable. En cuanto a los valores históricos de la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presentados en los Estados Financieros, para los activos que se mantengan en poder de la entidad, permanecerán sin cambio respecto del criterio contable que les dio origen. </w:t>
      </w:r>
    </w:p>
    <w:p w14:paraId="66913927" w14:textId="77777777" w:rsidR="009D5C48" w:rsidRDefault="009D5C48" w:rsidP="009D5C48">
      <w:pPr>
        <w:pStyle w:val="TEXTONORMAL"/>
      </w:pPr>
      <w:r w:rsidRPr="003D23CB">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así mismo, estos conceptos no se registran como parte de las cuentas de patrimonio.</w:t>
      </w:r>
    </w:p>
    <w:p w14:paraId="6C4A6D4C" w14:textId="77777777" w:rsidR="009D5C48" w:rsidRPr="00C94CCF" w:rsidRDefault="009D5C48" w:rsidP="003F2A12">
      <w:pPr>
        <w:pStyle w:val="TEXTONORMAL"/>
        <w:numPr>
          <w:ilvl w:val="0"/>
          <w:numId w:val="72"/>
        </w:numPr>
        <w:ind w:left="998" w:hanging="284"/>
      </w:pPr>
      <w:r w:rsidRPr="00C94CCF">
        <w:t>Deterioro en el valor de los activos de larga duración</w:t>
      </w:r>
    </w:p>
    <w:p w14:paraId="7E4FFE88" w14:textId="77777777" w:rsidR="009D5C48" w:rsidRDefault="009D5C48" w:rsidP="009D5C48">
      <w:pPr>
        <w:pStyle w:val="TEXTONORMAL"/>
      </w:pPr>
      <w:r>
        <w:t>La</w:t>
      </w:r>
      <w:r w:rsidRPr="002C045F">
        <w:t>s Reglas Específicas del Registro y Valoración del Patrimonio</w:t>
      </w:r>
      <w:r>
        <w:t>, no requieren que los Estados Financieros reconozcan el deterioro en el valor de los activos de larga duración como lo establece el Boletín C-15 “Deterioro en los Activos de Larga Duración y su Disposición” de las NIF.</w:t>
      </w:r>
    </w:p>
    <w:p w14:paraId="5DE4A669" w14:textId="77777777" w:rsidR="009D5C48" w:rsidRPr="00C94CCF" w:rsidRDefault="009D5C48" w:rsidP="003F2A12">
      <w:pPr>
        <w:pStyle w:val="TEXTONORMAL"/>
        <w:numPr>
          <w:ilvl w:val="0"/>
          <w:numId w:val="71"/>
        </w:numPr>
        <w:rPr>
          <w:lang w:val="es-MX"/>
        </w:rPr>
      </w:pPr>
      <w:r w:rsidRPr="00C94CCF">
        <w:rPr>
          <w:lang w:val="es-MX"/>
        </w:rPr>
        <w:t>Activos intangibles</w:t>
      </w:r>
    </w:p>
    <w:p w14:paraId="27D0DF7D" w14:textId="77777777" w:rsidR="009D5C48" w:rsidRPr="004C1A21" w:rsidRDefault="009D5C48" w:rsidP="009D5C48">
      <w:pPr>
        <w:pStyle w:val="TEXTONORMAL"/>
        <w:rPr>
          <w:lang w:val="es-MX"/>
        </w:rPr>
      </w:pPr>
      <w:r>
        <w:t>El Instituto aplicó</w:t>
      </w:r>
      <w:r w:rsidR="004C1A21">
        <w:t xml:space="preserve"> los</w:t>
      </w:r>
      <w:r>
        <w:t xml:space="preserve"> </w:t>
      </w:r>
      <w:r w:rsidR="004C1A21">
        <w:t>“</w:t>
      </w:r>
      <w:r w:rsidR="004C1A21">
        <w:rPr>
          <w:lang w:val="es-MX"/>
        </w:rPr>
        <w:t>Lineamientos Contables”, inciso E</w:t>
      </w:r>
      <w:r w:rsidR="004C1A21" w:rsidRPr="0030177F">
        <w:rPr>
          <w:lang w:val="es-MX"/>
        </w:rPr>
        <w:t xml:space="preserve"> </w:t>
      </w:r>
      <w:r w:rsidR="004C1A21">
        <w:rPr>
          <w:lang w:val="es-MX"/>
        </w:rPr>
        <w:t>“</w:t>
      </w:r>
      <w:r w:rsidR="004C1A21" w:rsidRPr="0030177F">
        <w:rPr>
          <w:lang w:val="es-MX"/>
        </w:rPr>
        <w:t>Obligaciones Laborales</w:t>
      </w:r>
      <w:r w:rsidR="004C1A21">
        <w:rPr>
          <w:lang w:val="es-MX"/>
        </w:rPr>
        <w:t>”</w:t>
      </w:r>
      <w:r w:rsidR="004C1A21" w:rsidRPr="0030177F">
        <w:rPr>
          <w:lang w:val="es-MX"/>
        </w:rPr>
        <w:t>, así como a la guía</w:t>
      </w:r>
      <w:r w:rsidR="004C1A21">
        <w:rPr>
          <w:lang w:val="es-MX"/>
        </w:rPr>
        <w:t xml:space="preserve"> contabilizadora</w:t>
      </w:r>
      <w:r w:rsidR="004C1A21" w:rsidRPr="0030177F">
        <w:rPr>
          <w:lang w:val="es-MX"/>
        </w:rPr>
        <w:t xml:space="preserve"> 33 Obligaciones Laborales</w:t>
      </w:r>
      <w:r w:rsidR="004C1A21">
        <w:rPr>
          <w:lang w:val="es-MX"/>
        </w:rPr>
        <w:t xml:space="preserve">, ambos </w:t>
      </w:r>
      <w:r w:rsidR="004C1A21" w:rsidRPr="0030177F">
        <w:rPr>
          <w:lang w:val="es-MX"/>
        </w:rPr>
        <w:t>incluid</w:t>
      </w:r>
      <w:r w:rsidR="004C1A21">
        <w:rPr>
          <w:lang w:val="es-MX"/>
        </w:rPr>
        <w:t>os</w:t>
      </w:r>
      <w:r w:rsidR="004C1A21" w:rsidRPr="0030177F">
        <w:rPr>
          <w:lang w:val="es-MX"/>
        </w:rPr>
        <w:t xml:space="preserve"> en el MCGSPF</w:t>
      </w:r>
      <w:r w:rsidR="004C1A21">
        <w:rPr>
          <w:lang w:val="es-MX"/>
        </w:rPr>
        <w:t xml:space="preserve"> emitido</w:t>
      </w:r>
      <w:r w:rsidR="004C1A21" w:rsidRPr="0030177F">
        <w:rPr>
          <w:lang w:val="es-MX"/>
        </w:rPr>
        <w:t xml:space="preserve"> por la </w:t>
      </w:r>
      <w:r w:rsidR="004C1A21">
        <w:rPr>
          <w:lang w:val="es-MX"/>
        </w:rPr>
        <w:t xml:space="preserve">UCG </w:t>
      </w:r>
      <w:r w:rsidR="004C1A21" w:rsidRPr="0030177F">
        <w:rPr>
          <w:lang w:val="es-MX"/>
        </w:rPr>
        <w:t xml:space="preserve">de la </w:t>
      </w:r>
      <w:r w:rsidR="004C1A21">
        <w:rPr>
          <w:lang w:val="es-MX"/>
        </w:rPr>
        <w:t xml:space="preserve">SHCP, </w:t>
      </w:r>
      <w:r>
        <w:t>para llevar el control de las operaciones relacionadas con el pasivo laboral. En dicha guía se determina la utilización de la cuenta de activos del plan por las provisiones no fondeadas, mismas que deberán formar parte de los activos intangibles.</w:t>
      </w:r>
    </w:p>
    <w:p w14:paraId="131A93FB" w14:textId="77777777" w:rsidR="00B27400" w:rsidRDefault="00B27400" w:rsidP="009D5C48">
      <w:pPr>
        <w:pStyle w:val="TEXTONORMAL"/>
      </w:pPr>
    </w:p>
    <w:p w14:paraId="7DABC84A" w14:textId="77777777" w:rsidR="009D5C48" w:rsidRPr="00C94CCF" w:rsidRDefault="009D5C48" w:rsidP="003F2A12">
      <w:pPr>
        <w:pStyle w:val="TEXTONORMAL"/>
        <w:numPr>
          <w:ilvl w:val="0"/>
          <w:numId w:val="71"/>
        </w:numPr>
        <w:rPr>
          <w:lang w:val="es-MX"/>
        </w:rPr>
      </w:pPr>
      <w:r w:rsidRPr="00C94CCF">
        <w:rPr>
          <w:lang w:val="es-MX"/>
        </w:rPr>
        <w:t>Pasivos contingentes y compromisos</w:t>
      </w:r>
    </w:p>
    <w:p w14:paraId="422FC35B" w14:textId="77777777" w:rsidR="009D5C48" w:rsidRDefault="009D5C48" w:rsidP="009D5C48">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14:paraId="3D66594B" w14:textId="77777777" w:rsidR="009D5C48" w:rsidRPr="00877154" w:rsidRDefault="009D5C48" w:rsidP="003F2A12">
      <w:pPr>
        <w:pStyle w:val="TEXTONORMAL"/>
        <w:numPr>
          <w:ilvl w:val="0"/>
          <w:numId w:val="71"/>
        </w:numPr>
        <w:rPr>
          <w:lang w:val="es-MX"/>
        </w:rPr>
      </w:pPr>
      <w:r w:rsidRPr="00877154">
        <w:rPr>
          <w:lang w:val="es-MX"/>
        </w:rPr>
        <w:t xml:space="preserve">Beneficios a los empleados  </w:t>
      </w:r>
      <w:r w:rsidR="00877154" w:rsidRPr="00877154">
        <w:rPr>
          <w:lang w:val="es-MX"/>
        </w:rPr>
        <w:t>|</w:t>
      </w:r>
    </w:p>
    <w:p w14:paraId="1A7C66EB" w14:textId="77777777" w:rsidR="009D5C48" w:rsidRPr="005218C5" w:rsidRDefault="00083342" w:rsidP="009D5C48">
      <w:pPr>
        <w:pStyle w:val="TEXTONORMAL"/>
      </w:pPr>
      <w:r w:rsidRPr="00877154">
        <w:t>Las disposiciones de los “</w:t>
      </w:r>
      <w:r w:rsidRPr="00877154">
        <w:rPr>
          <w:lang w:val="es-MX"/>
        </w:rPr>
        <w:t>Lineamientos Contables”, inciso E</w:t>
      </w:r>
      <w:r w:rsidRPr="00877154">
        <w:t xml:space="preserve"> “Obligaciones Laborales”, difieren con respecto a lo establecido en la NIF D-3 “Beneficios a los empleados”, en tanto que en esta última, el reconocimiento del costo neto del período en los estados de actividades es pleno y de aplicación obligatoria, no así </w:t>
      </w:r>
      <w:r w:rsidR="0050138A">
        <w:t xml:space="preserve">en las </w:t>
      </w:r>
      <w:r w:rsidR="0050138A" w:rsidRPr="00877154">
        <w:t>disposiciones de los “</w:t>
      </w:r>
      <w:r w:rsidR="0050138A" w:rsidRPr="00877154">
        <w:rPr>
          <w:lang w:val="es-MX"/>
        </w:rPr>
        <w:t>Lineamientos Contables”</w:t>
      </w:r>
      <w:r w:rsidRPr="00877154">
        <w:t>, la cual solo es de aplicación obligatoria siempre y cuando, no implique la determinación de un resultado del ejercicio de naturaleza desfavorable y los pasiv</w:t>
      </w:r>
      <w:r w:rsidR="009D5C48" w:rsidRPr="00877154">
        <w:t>os reconocidos por ese concepto se encuentren fondeados y cuenten con presupuesto en el ejercicio correspondiente, adicionalmente, la determinación del costo neto de 2021 para el Régimen de Jubilaciones y Pensiones y para Prima de Antigüedad e Indemnizaciones en favor de los Trabajadores del Instituto, se realizó considerando la NIF D-3.</w:t>
      </w:r>
    </w:p>
    <w:p w14:paraId="31850297" w14:textId="77777777" w:rsidR="009D5C48" w:rsidRPr="00C94CCF" w:rsidRDefault="009D5C48" w:rsidP="003F2A12">
      <w:pPr>
        <w:pStyle w:val="TEXTONORMAL"/>
        <w:numPr>
          <w:ilvl w:val="0"/>
          <w:numId w:val="71"/>
        </w:numPr>
        <w:rPr>
          <w:lang w:val="es-MX"/>
        </w:rPr>
      </w:pPr>
      <w:r w:rsidRPr="00C94CCF">
        <w:rPr>
          <w:lang w:val="es-MX"/>
        </w:rPr>
        <w:t>Segmentos por ramo de seguro</w:t>
      </w:r>
    </w:p>
    <w:p w14:paraId="56C11DB1" w14:textId="77777777" w:rsidR="00BB4A20" w:rsidRPr="00C968D8" w:rsidRDefault="004C1A21" w:rsidP="00C968D8">
      <w:pPr>
        <w:pStyle w:val="TEXTONORMAL"/>
      </w:pPr>
      <w:r>
        <w:rPr>
          <w:lang w:val="es-MX"/>
        </w:rPr>
        <w:t>L</w:t>
      </w:r>
      <w:r>
        <w:t>os “</w:t>
      </w:r>
      <w:r>
        <w:rPr>
          <w:lang w:val="es-MX"/>
        </w:rPr>
        <w:t>Lineamientos Contables”, d</w:t>
      </w:r>
      <w:r w:rsidRPr="0030177F">
        <w:rPr>
          <w:lang w:val="es-MX"/>
        </w:rPr>
        <w:t>el MCGSPF</w:t>
      </w:r>
      <w:r>
        <w:rPr>
          <w:lang w:val="es-MX"/>
        </w:rPr>
        <w:t xml:space="preserve"> emitido</w:t>
      </w:r>
      <w:r w:rsidRPr="0030177F">
        <w:rPr>
          <w:lang w:val="es-MX"/>
        </w:rPr>
        <w:t xml:space="preserve"> por la </w:t>
      </w:r>
      <w:r>
        <w:rPr>
          <w:lang w:val="es-MX"/>
        </w:rPr>
        <w:t xml:space="preserve">UCG </w:t>
      </w:r>
      <w:r w:rsidRPr="0030177F">
        <w:rPr>
          <w:lang w:val="es-MX"/>
        </w:rPr>
        <w:t xml:space="preserve">de la </w:t>
      </w:r>
      <w:r>
        <w:rPr>
          <w:lang w:val="es-MX"/>
        </w:rPr>
        <w:t>SHCP</w:t>
      </w:r>
      <w:r>
        <w:t xml:space="preserve">, </w:t>
      </w:r>
      <w:r w:rsidR="009D5C48">
        <w:t>no requieren que los Estados Financieros presenten información detallada por segmentos conforme a las disposiciones contenidas en la NIF B-5 “Información financiera por segmentos”.</w:t>
      </w:r>
    </w:p>
    <w:p w14:paraId="499CEA0A" w14:textId="77777777" w:rsidR="009D5C48" w:rsidRPr="00BB4A20" w:rsidRDefault="009D5C48" w:rsidP="003F2A12">
      <w:pPr>
        <w:pStyle w:val="VIETAFLECHA"/>
        <w:numPr>
          <w:ilvl w:val="0"/>
          <w:numId w:val="73"/>
        </w:numPr>
        <w:ind w:left="357" w:hanging="357"/>
      </w:pPr>
      <w:r w:rsidRPr="00BB4A20">
        <w:t>Políticas contables significativas aplicadas</w:t>
      </w:r>
    </w:p>
    <w:p w14:paraId="23CB5A33" w14:textId="77777777" w:rsidR="009D5C48" w:rsidRDefault="009D5C48" w:rsidP="009D5C48">
      <w:pPr>
        <w:pStyle w:val="TEXTONORMAL"/>
      </w:pPr>
      <w:r>
        <w:t xml:space="preserve">A </w:t>
      </w:r>
      <w:r w:rsidR="00382E33">
        <w:t>continuación,</w:t>
      </w:r>
      <w:r>
        <w:t xml:space="preserve"> se resumen las principales políticas contables utilizadas en la elaboración de los Estados Financieros del Instituto, las cuales han sido consistentes en los ejercicios de 202</w:t>
      </w:r>
      <w:r w:rsidR="00B27400">
        <w:t>2</w:t>
      </w:r>
      <w:r>
        <w:t xml:space="preserve"> y 202</w:t>
      </w:r>
      <w:r w:rsidR="00B27400">
        <w:t>1</w:t>
      </w:r>
      <w:r>
        <w:t>.</w:t>
      </w:r>
    </w:p>
    <w:p w14:paraId="4B5024D4" w14:textId="77777777" w:rsidR="009D5C48" w:rsidRPr="00810A51" w:rsidRDefault="009D5C48" w:rsidP="003F2A12">
      <w:pPr>
        <w:pStyle w:val="TEXTONORMAL"/>
        <w:numPr>
          <w:ilvl w:val="0"/>
          <w:numId w:val="74"/>
        </w:numPr>
        <w:ind w:left="714" w:hanging="357"/>
        <w:rPr>
          <w:lang w:val="es-MX"/>
        </w:rPr>
      </w:pPr>
      <w:r w:rsidRPr="00810A51">
        <w:rPr>
          <w:lang w:val="es-MX"/>
        </w:rPr>
        <w:t>Moneda funcional y de informe</w:t>
      </w:r>
    </w:p>
    <w:p w14:paraId="5CA1ABBC" w14:textId="77777777" w:rsidR="009D5C48" w:rsidRDefault="009D5C48" w:rsidP="009D5C48">
      <w:pPr>
        <w:pStyle w:val="TEXTONORMAL"/>
      </w:pPr>
      <w:r>
        <w:t>Los Estados Financieros se presentan en moneda de informe peso mexicano, que es igual a la moneda de registro y a su moneda funcional.</w:t>
      </w:r>
    </w:p>
    <w:p w14:paraId="41463984" w14:textId="77777777" w:rsidR="009D5C48" w:rsidRDefault="009D5C48" w:rsidP="009D5C48">
      <w:pPr>
        <w:pStyle w:val="TEXTONORMAL"/>
      </w:pPr>
      <w:r>
        <w:t>Para propósitos de revelación en las notas a los Estados Financieros, cuando se hace referencia a pesos, se trata de pesos mexicanos y para la posición en moneda extranjera se hace referencia a USD o dólares americanos.</w:t>
      </w:r>
    </w:p>
    <w:p w14:paraId="3E195E36" w14:textId="77777777" w:rsidR="009D5C48" w:rsidRPr="00810A51" w:rsidRDefault="009D5C48" w:rsidP="003F2A12">
      <w:pPr>
        <w:pStyle w:val="TEXTONORMAL"/>
        <w:numPr>
          <w:ilvl w:val="0"/>
          <w:numId w:val="74"/>
        </w:numPr>
        <w:ind w:left="714" w:hanging="357"/>
        <w:rPr>
          <w:lang w:val="es-MX"/>
        </w:rPr>
      </w:pPr>
      <w:r w:rsidRPr="00810A51">
        <w:rPr>
          <w:lang w:val="es-MX"/>
        </w:rPr>
        <w:t>Base del costo histórico</w:t>
      </w:r>
    </w:p>
    <w:p w14:paraId="6E400E9D" w14:textId="77777777" w:rsidR="009D5C48" w:rsidRDefault="009D5C48" w:rsidP="009D5C48">
      <w:pPr>
        <w:pStyle w:val="TEXTONORMAL"/>
      </w:pPr>
      <w: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14:paraId="2A7D8470" w14:textId="77777777" w:rsidR="009D5C48" w:rsidRPr="008445E2" w:rsidRDefault="009D5C48" w:rsidP="003F2A12">
      <w:pPr>
        <w:pStyle w:val="TEXTONORMAL"/>
        <w:numPr>
          <w:ilvl w:val="0"/>
          <w:numId w:val="74"/>
        </w:numPr>
        <w:ind w:left="714" w:hanging="357"/>
        <w:rPr>
          <w:lang w:val="es-MX"/>
        </w:rPr>
      </w:pPr>
      <w:r w:rsidRPr="008445E2">
        <w:rPr>
          <w:lang w:val="es-MX"/>
        </w:rPr>
        <w:t>Otras inversiones permanentes</w:t>
      </w:r>
    </w:p>
    <w:p w14:paraId="2C4E89A4" w14:textId="77777777" w:rsidR="009D5C48" w:rsidRDefault="009D5C48" w:rsidP="00C3324D">
      <w:pPr>
        <w:pStyle w:val="TEXTONORMAL"/>
      </w:pPr>
      <w:r>
        <w:t>Otras inversiones permanentes que el Instituto tiene es la Afore XXI Banorte, S.A. de C.V. (Afor</w:t>
      </w:r>
      <w:r w:rsidR="004C1A21">
        <w:t xml:space="preserve">e XXI) al 30 de </w:t>
      </w:r>
      <w:r w:rsidR="00083342">
        <w:t>septiembre</w:t>
      </w:r>
      <w:r w:rsidR="004C1A21">
        <w:t xml:space="preserve"> de 2022 y 31 de diciembre de</w:t>
      </w:r>
      <w:r>
        <w:t xml:space="preserve"> 202</w:t>
      </w:r>
      <w:r w:rsidR="00382E33">
        <w:t>1</w:t>
      </w:r>
      <w:r>
        <w:t xml:space="preserve">, se consideran como inversiones en asociadas, ya que el Instituto no posee control de las mismas. La inversión en asociadas se valúa </w:t>
      </w:r>
      <w:r>
        <w:lastRenderedPageBreak/>
        <w:t>inicialmente a su costo de adquisición y posteriormente, utilizando el método de participación, a través del cual se reconoce la participación en los resultados y en el patrimonio.</w:t>
      </w:r>
    </w:p>
    <w:p w14:paraId="5C0320F5" w14:textId="77777777" w:rsidR="009D5C48" w:rsidRDefault="009D5C48" w:rsidP="008446D6">
      <w:pPr>
        <w:pStyle w:val="TEXTONORMAL"/>
      </w:pPr>
      <w:r>
        <w:t>El crédito mercantil que le es relativo a la inversión en Afore XXI Banorte, S.A. de C.V., se presenta formando parte de la inversión permanente. En caso de presentarse indicios de deterioro, las pruebas de deterioro considerarían a la inversión en la asociada; así como, al crédito mercantil que le es relativo.</w:t>
      </w:r>
    </w:p>
    <w:p w14:paraId="7F1442AC" w14:textId="77777777" w:rsidR="009D5C48" w:rsidRPr="008445E2" w:rsidRDefault="009D5C48" w:rsidP="003F2A12">
      <w:pPr>
        <w:pStyle w:val="TEXTONORMAL"/>
        <w:numPr>
          <w:ilvl w:val="0"/>
          <w:numId w:val="74"/>
        </w:numPr>
        <w:ind w:left="714" w:hanging="357"/>
        <w:rPr>
          <w:lang w:val="es-MX"/>
        </w:rPr>
      </w:pPr>
      <w:r w:rsidRPr="008445E2">
        <w:rPr>
          <w:lang w:val="es-MX"/>
        </w:rPr>
        <w:t xml:space="preserve">Depreciación </w:t>
      </w:r>
    </w:p>
    <w:p w14:paraId="474EC15C" w14:textId="77777777" w:rsidR="00810A51" w:rsidRDefault="009D5C48" w:rsidP="009D5C48">
      <w:pPr>
        <w:pStyle w:val="TEXTONORMAL"/>
      </w:pPr>
      <w:r>
        <w:t>Para la depreciación del ejercicio 202</w:t>
      </w:r>
      <w:r w:rsidR="00382E33">
        <w:t>2</w:t>
      </w:r>
      <w:r>
        <w:t xml:space="preserve"> y 202</w:t>
      </w:r>
      <w:r w:rsidR="00382E33">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335CD072" w14:textId="77777777" w:rsidR="009D5C48" w:rsidRPr="008445E2" w:rsidRDefault="009D5C48" w:rsidP="003F2A12">
      <w:pPr>
        <w:pStyle w:val="TEXTONORMAL"/>
        <w:numPr>
          <w:ilvl w:val="0"/>
          <w:numId w:val="74"/>
        </w:numPr>
        <w:ind w:left="714" w:hanging="357"/>
        <w:rPr>
          <w:lang w:val="es-MX"/>
        </w:rPr>
      </w:pPr>
      <w:r w:rsidRPr="008445E2">
        <w:rPr>
          <w:lang w:val="es-MX"/>
        </w:rPr>
        <w:t>Reconocimiento de ingresos</w:t>
      </w:r>
    </w:p>
    <w:p w14:paraId="0AB58015" w14:textId="77777777" w:rsidR="009D5C48" w:rsidRDefault="009D5C48" w:rsidP="009D5C48">
      <w:pPr>
        <w:pStyle w:val="TEXTONORMAL"/>
      </w:pPr>
      <w:r>
        <w:t>El Instituto reconoce los ingresos que recibe por los siguientes conceptos como se detalla a continuación:</w:t>
      </w:r>
    </w:p>
    <w:p w14:paraId="6FFF50DC" w14:textId="77777777" w:rsidR="009D5C48" w:rsidRPr="00810A51" w:rsidRDefault="009D5C48" w:rsidP="003F2A12">
      <w:pPr>
        <w:pStyle w:val="TEXTONORMAL"/>
        <w:numPr>
          <w:ilvl w:val="0"/>
          <w:numId w:val="75"/>
        </w:numPr>
        <w:ind w:left="998" w:hanging="284"/>
      </w:pPr>
      <w:r w:rsidRPr="00810A51">
        <w:t>Cuotas obrero patronales</w:t>
      </w:r>
    </w:p>
    <w:p w14:paraId="30CE00B5" w14:textId="77777777" w:rsidR="009D5C48" w:rsidRDefault="009D5C48" w:rsidP="009D5C48">
      <w:pPr>
        <w:pStyle w:val="TEXTONORMAL"/>
      </w:pPr>
      <w:r>
        <w:t>Los ingresos por este concepto se registran al cierre de cada mes, con base en los días cotizados por los trabajadores y los factores establecidos en la LSS, para cada ramo de seguro.</w:t>
      </w:r>
    </w:p>
    <w:p w14:paraId="69FDF219" w14:textId="77777777" w:rsidR="009D5C48" w:rsidRPr="00810A51" w:rsidRDefault="009D5C48" w:rsidP="003F2A12">
      <w:pPr>
        <w:pStyle w:val="TEXTONORMAL"/>
        <w:numPr>
          <w:ilvl w:val="0"/>
          <w:numId w:val="75"/>
        </w:numPr>
        <w:ind w:left="998" w:hanging="284"/>
      </w:pPr>
      <w:r w:rsidRPr="00810A51">
        <w:t>Aportación del Gobierno Federal para la Seguridad Social</w:t>
      </w:r>
    </w:p>
    <w:p w14:paraId="4E3D9AD3" w14:textId="77777777" w:rsidR="009D5C48" w:rsidRDefault="009D5C48" w:rsidP="009D5C48">
      <w:pPr>
        <w:pStyle w:val="TEXTONORMAL"/>
      </w:pPr>
      <w:r>
        <w:t>Los ingresos por este concepto se determinan al inicio del año con base en el PEF. Mensualmente con base en los factores establecidos en la LSS, se registran los ingresos devengados, y al cierre de cada ejercicio se determina la diferencia entre el PEF y los ingresos devengados.</w:t>
      </w:r>
    </w:p>
    <w:p w14:paraId="2C696027" w14:textId="77777777" w:rsidR="009D5C48" w:rsidRPr="00810A51" w:rsidRDefault="009D5C48" w:rsidP="003F2A12">
      <w:pPr>
        <w:pStyle w:val="TEXTONORMAL"/>
        <w:numPr>
          <w:ilvl w:val="0"/>
          <w:numId w:val="75"/>
        </w:numPr>
        <w:ind w:left="998" w:hanging="284"/>
      </w:pPr>
      <w:r w:rsidRPr="00810A51">
        <w:t>Intereses</w:t>
      </w:r>
    </w:p>
    <w:p w14:paraId="619A874A" w14:textId="77777777" w:rsidR="009D5C48" w:rsidRDefault="009D5C48" w:rsidP="00C3324D">
      <w:pPr>
        <w:pStyle w:val="TEXTONORMAL"/>
      </w:pPr>
      <w:r>
        <w:t>Los ingresos por este concepto se registran cuando los rendimientos que provienen de las inversiones se devengan conforme a los contratos correspondientes.</w:t>
      </w:r>
    </w:p>
    <w:p w14:paraId="00451AE5" w14:textId="77777777" w:rsidR="009D5C48" w:rsidRPr="00810A51" w:rsidRDefault="009D5C48" w:rsidP="003F2A12">
      <w:pPr>
        <w:pStyle w:val="TEXTONORMAL"/>
        <w:numPr>
          <w:ilvl w:val="0"/>
          <w:numId w:val="75"/>
        </w:numPr>
        <w:ind w:left="998" w:hanging="284"/>
      </w:pPr>
      <w:r w:rsidRPr="00810A51">
        <w:t>Venta de mercancía</w:t>
      </w:r>
    </w:p>
    <w:p w14:paraId="76258414" w14:textId="77777777" w:rsidR="009D5C48" w:rsidRDefault="009D5C48" w:rsidP="009D5C48">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14:paraId="1848D8A6" w14:textId="77777777" w:rsidR="009D5C48" w:rsidRDefault="009D5C48" w:rsidP="009D5C48">
      <w:pPr>
        <w:pStyle w:val="TEXTONORMAL"/>
      </w:pPr>
      <w:r>
        <w:t>Generalmente los riesgos y beneficios significativos son transferidos a los clientes cuando estos reciben y aceptan las mercancías que les fueron entregadas.</w:t>
      </w:r>
    </w:p>
    <w:p w14:paraId="3DAC1107" w14:textId="77777777" w:rsidR="002E24E1" w:rsidRDefault="002E24E1" w:rsidP="009D5C48">
      <w:pPr>
        <w:pStyle w:val="TEXTONORMAL"/>
      </w:pPr>
    </w:p>
    <w:p w14:paraId="0D160047" w14:textId="77777777" w:rsidR="002E24E1" w:rsidRDefault="002E24E1" w:rsidP="009D5C48">
      <w:pPr>
        <w:pStyle w:val="TEXTONORMAL"/>
      </w:pPr>
    </w:p>
    <w:p w14:paraId="20156941" w14:textId="77777777" w:rsidR="009D5C48" w:rsidRPr="007447E9" w:rsidRDefault="009D5C48" w:rsidP="003F2A12">
      <w:pPr>
        <w:pStyle w:val="TEXTONORMAL"/>
        <w:numPr>
          <w:ilvl w:val="0"/>
          <w:numId w:val="75"/>
        </w:numPr>
        <w:ind w:left="998" w:hanging="284"/>
        <w:rPr>
          <w:b/>
        </w:rPr>
      </w:pPr>
      <w:r w:rsidRPr="00810A51">
        <w:lastRenderedPageBreak/>
        <w:t>Aportaciones del Gobierno Federal para las Pensiones en curso de pago</w:t>
      </w:r>
      <w:r w:rsidRPr="007447E9">
        <w:rPr>
          <w:b/>
        </w:rPr>
        <w:t>.</w:t>
      </w:r>
    </w:p>
    <w:p w14:paraId="7073A4B3" w14:textId="77777777" w:rsidR="009D5C48" w:rsidRDefault="009D5C48" w:rsidP="009D5C48">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14:paraId="1F8248D0" w14:textId="77777777" w:rsidR="008446D6" w:rsidRDefault="009D5C48" w:rsidP="009D5C48">
      <w:pPr>
        <w:pStyle w:val="TEXTONORMAL"/>
      </w:pPr>
      <w:r>
        <w:t xml:space="preserve">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w:t>
      </w:r>
      <w:r w:rsidR="00B035FC">
        <w:t xml:space="preserve">Contabilizadora </w:t>
      </w:r>
      <w:r>
        <w:t>21 del MCGSPF; no obstante para efectos presupuestales dichos recursos sí se reconocen como un ingreso y egreso presupuestal.</w:t>
      </w:r>
    </w:p>
    <w:p w14:paraId="643008AF" w14:textId="77777777" w:rsidR="009D5C48" w:rsidRPr="008445E2" w:rsidRDefault="009D5C48" w:rsidP="003F2A12">
      <w:pPr>
        <w:pStyle w:val="TEXTONORMAL"/>
        <w:numPr>
          <w:ilvl w:val="0"/>
          <w:numId w:val="74"/>
        </w:numPr>
        <w:ind w:left="714" w:hanging="357"/>
        <w:rPr>
          <w:lang w:val="es-MX"/>
        </w:rPr>
      </w:pPr>
      <w:r w:rsidRPr="008445E2">
        <w:rPr>
          <w:lang w:val="es-MX"/>
        </w:rPr>
        <w:t>Uso de estimaciones</w:t>
      </w:r>
    </w:p>
    <w:p w14:paraId="21CA1976" w14:textId="77777777" w:rsidR="009D5C48" w:rsidRDefault="009D5C48" w:rsidP="009D5C48">
      <w:pPr>
        <w:pStyle w:val="TEXTONORMAL"/>
      </w:pPr>
      <w:r>
        <w:t>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 Patronales, de Multas de Cuotas Obrero Patronales, de Deudores Diversos y por Deterioro de Inventarios, las cuales se detallan en la nota 1.6.</w:t>
      </w:r>
    </w:p>
    <w:p w14:paraId="613F8F51" w14:textId="77777777" w:rsidR="009D5C48" w:rsidRPr="008445E2" w:rsidRDefault="009D5C48" w:rsidP="003F2A12">
      <w:pPr>
        <w:pStyle w:val="TEXTONORMAL"/>
        <w:numPr>
          <w:ilvl w:val="0"/>
          <w:numId w:val="74"/>
        </w:numPr>
        <w:ind w:left="714" w:hanging="357"/>
        <w:rPr>
          <w:lang w:val="es-MX"/>
        </w:rPr>
      </w:pPr>
      <w:r w:rsidRPr="008445E2">
        <w:rPr>
          <w:lang w:val="es-MX"/>
        </w:rPr>
        <w:t>Efectivo y equivalentes de efectivo</w:t>
      </w:r>
    </w:p>
    <w:p w14:paraId="5E6A1341" w14:textId="77777777" w:rsidR="009D5C48" w:rsidRDefault="009D5C48" w:rsidP="009D5C48">
      <w:pPr>
        <w:pStyle w:val="TEXTONORMAL"/>
      </w:pPr>
      <w:r>
        <w:t>El efectivo y equivalentes están representados principalmente por depósitos bancarios e inversiones en instrumentos de alta liquidez, con vencimientos no mayores a 90 días.</w:t>
      </w:r>
    </w:p>
    <w:p w14:paraId="267195FB" w14:textId="77777777" w:rsidR="009D5C48" w:rsidRPr="008445E2" w:rsidRDefault="009D5C48" w:rsidP="003F2A12">
      <w:pPr>
        <w:pStyle w:val="TEXTONORMAL"/>
        <w:numPr>
          <w:ilvl w:val="0"/>
          <w:numId w:val="74"/>
        </w:numPr>
        <w:ind w:left="714" w:hanging="357"/>
        <w:rPr>
          <w:lang w:val="es-MX"/>
        </w:rPr>
      </w:pPr>
      <w:r w:rsidRPr="008445E2">
        <w:rPr>
          <w:lang w:val="es-MX"/>
        </w:rPr>
        <w:t>Instrumentos financieros</w:t>
      </w:r>
    </w:p>
    <w:p w14:paraId="6E939134" w14:textId="77777777" w:rsidR="009D5C48" w:rsidRPr="00427FB0" w:rsidRDefault="009D5C48" w:rsidP="009D5C48">
      <w:pPr>
        <w:pStyle w:val="TEXTONORMAL"/>
      </w:pPr>
      <w:r w:rsidRPr="00427FB0">
        <w:t xml:space="preserve">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w:t>
      </w:r>
      <w:r>
        <w:t>La nueva clasificación de los activos de IF es la siguiente:</w:t>
      </w:r>
    </w:p>
    <w:p w14:paraId="2E365B9F" w14:textId="77777777" w:rsidR="009D5C48" w:rsidRPr="00427FB0" w:rsidRDefault="009D5C48" w:rsidP="009D5C48">
      <w:pPr>
        <w:pStyle w:val="TEXTONORMAL"/>
      </w:pPr>
      <w:r w:rsidRPr="00427FB0">
        <w:t xml:space="preserve">Instrumento Financiero por Cobrar Principal e Interés (IFCPI), </w:t>
      </w:r>
      <w:r>
        <w:t xml:space="preserve">cuyo objetivo es </w:t>
      </w:r>
      <w:r w:rsidRPr="00427FB0">
        <w:t>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14:paraId="7665B39B" w14:textId="77777777" w:rsidR="009D5C48" w:rsidRPr="00427FB0" w:rsidRDefault="009D5C48" w:rsidP="009D5C48">
      <w:pPr>
        <w:pStyle w:val="TEXTONORMAL"/>
      </w:pPr>
      <w:r w:rsidRPr="00427FB0">
        <w:t>Instrumento Financiero para Cobrar o Vender (IFCV), cuyo objetivo es cobrar los flujos de efectivo contractuales por cobros de principal e interés, o bien, obtener una utilidad en su venta</w:t>
      </w:r>
      <w:r>
        <w:t xml:space="preserve">, cuando ésta sea conveniente. </w:t>
      </w:r>
      <w:r w:rsidRPr="00427FB0">
        <w:t>Su efecto de valuación se aplica a los otr</w:t>
      </w:r>
      <w:r>
        <w:t>os resultados integrales (ORI)</w:t>
      </w:r>
      <w:r w:rsidRPr="00427FB0">
        <w:t xml:space="preserve"> excepto los efectos derivados de intereses devengados, deterioro, conversión de su unidad de medición: moneda extranjera, UDIS, los cuales se aplican a la utilidad o pérdida neta (UPN).</w:t>
      </w:r>
    </w:p>
    <w:p w14:paraId="36A84123" w14:textId="77777777" w:rsidR="00970F09" w:rsidRDefault="009D5C48" w:rsidP="009D5C48">
      <w:pPr>
        <w:pStyle w:val="TEXTONORMAL"/>
      </w:pPr>
      <w:r w:rsidRPr="00427FB0">
        <w:lastRenderedPageBreak/>
        <w:t xml:space="preserve">Instrumentos Financieros Negociables (IFN), cuyo objeto es invertir con el propósito de obtener una utilidad entre el precio de compra y el de venta, o sea en función de la administración de los riesgos de mercado de dicho instrumento. Su efecto de valuación se aplica a la utilidad o pérdida neta (UPN). </w:t>
      </w:r>
    </w:p>
    <w:p w14:paraId="6FD7B10E" w14:textId="77777777" w:rsidR="009D5C48" w:rsidRDefault="009D5C48" w:rsidP="009D5C48">
      <w:pPr>
        <w:pStyle w:val="TEXTONORMAL"/>
      </w:pPr>
      <w:r>
        <w:t>Con base en esta nueva clasificación los IF que el Instituto mantiene, serán valuados y reconocidos conforme a lo siguiente:</w:t>
      </w:r>
    </w:p>
    <w:p w14:paraId="40B06205" w14:textId="77777777" w:rsidR="00B648FB" w:rsidRPr="00427FB0" w:rsidRDefault="00B648FB" w:rsidP="00B648FB">
      <w:pPr>
        <w:pStyle w:val="TEXTONORMAL"/>
      </w:pPr>
      <w:r w:rsidRPr="00427FB0">
        <w:t xml:space="preserve">Los IFCPI se valúan a costo amortizado que considera el valor presente de los flujos de efectivo contractuales por cobrar más los costos de la transacción por amortizar, utilizando el método de interés efectivo, afectando la utilidad o pérdida neta. </w:t>
      </w:r>
    </w:p>
    <w:p w14:paraId="49AD1E13" w14:textId="77777777" w:rsidR="00B648FB" w:rsidRDefault="00B648FB" w:rsidP="00B648FB">
      <w:pPr>
        <w:pStyle w:val="TEXTONORMAL"/>
      </w:pPr>
      <w:r w:rsidRPr="00427FB0">
        <w:t xml:space="preserve">Los IFCV están valuados inicialmente a su costo amortizado con base en la tasa de interés efectiva afectando la utilidad o pérdida neta y su valuación posterior se realiza a valor razonable afectando los ORI.  </w:t>
      </w:r>
    </w:p>
    <w:p w14:paraId="1167AAF4" w14:textId="77777777" w:rsidR="00B648FB" w:rsidRDefault="00B648FB" w:rsidP="00B648FB">
      <w:pPr>
        <w:pStyle w:val="TEXTONORMAL"/>
      </w:pPr>
      <w:r w:rsidRPr="00427FB0">
        <w:t>Para los</w:t>
      </w:r>
      <w:r>
        <w:t xml:space="preserve"> dos casos anteriores se</w:t>
      </w:r>
      <w:r w:rsidRPr="00427FB0">
        <w:t xml:space="preserve"> resta la estimación por pérdidas crediticias esperadas.</w:t>
      </w:r>
    </w:p>
    <w:p w14:paraId="51160345" w14:textId="77777777" w:rsidR="009D5C48" w:rsidRPr="00427FB0" w:rsidRDefault="009D5C48" w:rsidP="009D5C48">
      <w:pPr>
        <w:pStyle w:val="TEXTONORMAL"/>
      </w:pPr>
      <w:r w:rsidRPr="00427FB0">
        <w:t xml:space="preserve">Los IFN se valúan como sigue: Los costos de transacción se aplican a los resultados al momento de </w:t>
      </w:r>
      <w:r>
        <w:t>su realización</w:t>
      </w:r>
      <w:r w:rsidRPr="00427FB0">
        <w:t xml:space="preserve"> y su medición inicial es al costo; con posterioridad se valúan a valor razonable con cambios en la utilidad o pérdida neta. </w:t>
      </w:r>
    </w:p>
    <w:p w14:paraId="5488437C" w14:textId="77777777" w:rsidR="009D5C48" w:rsidRPr="00427FB0" w:rsidRDefault="009D5C48" w:rsidP="009D5C48">
      <w:pPr>
        <w:pStyle w:val="TEXTONORMAL"/>
      </w:pPr>
      <w:r w:rsidRPr="00427FB0">
        <w:t>Las inversiones en instrumentos financieros en el Instituto</w:t>
      </w:r>
      <w:r>
        <w:t xml:space="preserve"> están representadas por bonos corporativos, bancarios y g</w:t>
      </w:r>
      <w:r w:rsidRPr="00427FB0">
        <w:t>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14:paraId="0A91C896" w14:textId="77777777" w:rsidR="009D5C48" w:rsidRPr="00427FB0" w:rsidRDefault="009D5C48" w:rsidP="009D5C48">
      <w:pPr>
        <w:pStyle w:val="TEXTONORMAL"/>
      </w:pPr>
      <w:r w:rsidRPr="00427FB0">
        <w:t xml:space="preserve">El rubro de instrumentos financieros, con fundamento en la LSS, se compone de cuatro reservas y un fondo laboral, </w:t>
      </w:r>
      <w:r>
        <w:t>este último</w:t>
      </w:r>
      <w:r w:rsidRPr="00427FB0">
        <w:t xml:space="preserve">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14:paraId="15C8E27C" w14:textId="77777777" w:rsidR="009D5C48" w:rsidRPr="00427FB0" w:rsidRDefault="009D5C48" w:rsidP="009D5C48">
      <w:pPr>
        <w:pStyle w:val="TEXTONORMAL"/>
      </w:pPr>
      <w:r w:rsidRPr="00427FB0">
        <w:t xml:space="preserve">En términos generales, los métodos o supuestos significativos usados para determinar el valor razonable de los instrumentos </w:t>
      </w:r>
      <w:r w:rsidR="00CE065B" w:rsidRPr="00427FB0">
        <w:t>financieros</w:t>
      </w:r>
      <w:r w:rsidRPr="00427FB0">
        <w:t xml:space="preserve"> se basan en la obtención de vectores proporcionados por el proveedor de precios “</w:t>
      </w:r>
      <w:proofErr w:type="spellStart"/>
      <w:r w:rsidRPr="00427FB0">
        <w:t>Valmer</w:t>
      </w:r>
      <w:proofErr w:type="spellEnd"/>
      <w:r w:rsidRPr="00427FB0">
        <w:t xml:space="preserve">, S.A. de C.V.”, los cuales dieron como resultado una medida apropiada de valor razonable de mercado para propósitos de medición y revelación en los </w:t>
      </w:r>
      <w:r>
        <w:t>Estados Financieros</w:t>
      </w:r>
      <w:r w:rsidRPr="00427FB0">
        <w:t>.</w:t>
      </w:r>
    </w:p>
    <w:p w14:paraId="56A5672B" w14:textId="77777777" w:rsidR="009D5C48" w:rsidRPr="00427FB0" w:rsidRDefault="009D5C48" w:rsidP="009D5C48">
      <w:pPr>
        <w:pStyle w:val="TEXTONORMAL"/>
      </w:pPr>
      <w:r w:rsidRPr="00427FB0">
        <w:t>Con base en el MCGSPF los instrumentos financieros con plazo menor de un año se presentan en el activo circulante como se indica a continuación:</w:t>
      </w:r>
    </w:p>
    <w:p w14:paraId="2273B856" w14:textId="77777777" w:rsidR="009D5C48" w:rsidRPr="00427FB0" w:rsidRDefault="009D5C48" w:rsidP="003F2A12">
      <w:pPr>
        <w:pStyle w:val="TEXTONORMAL"/>
        <w:numPr>
          <w:ilvl w:val="0"/>
          <w:numId w:val="76"/>
        </w:numPr>
        <w:ind w:left="998" w:hanging="284"/>
      </w:pPr>
      <w:r w:rsidRPr="00427FB0">
        <w:t>En “Inversiones Temporales” aquellas cuya recuperación se efectuará en un plazo inferior a tres meses.</w:t>
      </w:r>
    </w:p>
    <w:p w14:paraId="4C737B4E" w14:textId="77777777" w:rsidR="009D5C48" w:rsidRDefault="009D5C48" w:rsidP="003F2A12">
      <w:pPr>
        <w:pStyle w:val="TEXTONORMAL"/>
        <w:numPr>
          <w:ilvl w:val="0"/>
          <w:numId w:val="76"/>
        </w:numPr>
        <w:ind w:left="998" w:hanging="284"/>
      </w:pPr>
      <w:r w:rsidRPr="00427FB0">
        <w:t>En “Inversiones Financieras de Corto Plazo” aquellas cuya recuperación se efectuará en un plazo mayor a tres meses y menor o igual a doce meses.</w:t>
      </w:r>
    </w:p>
    <w:p w14:paraId="054E44CB" w14:textId="77777777" w:rsidR="00CE065B" w:rsidRDefault="009D5C48" w:rsidP="00673405">
      <w:pPr>
        <w:pStyle w:val="TEXTONORMAL"/>
        <w:numPr>
          <w:ilvl w:val="0"/>
          <w:numId w:val="76"/>
        </w:numPr>
        <w:ind w:left="998" w:hanging="284"/>
      </w:pPr>
      <w:r>
        <w:lastRenderedPageBreak/>
        <w:t>En</w:t>
      </w:r>
      <w:r w:rsidRPr="00427FB0">
        <w:t xml:space="preserve"> “Inversiones</w:t>
      </w:r>
      <w:r>
        <w:t xml:space="preserve"> Financieras a Largo Plazo” </w:t>
      </w:r>
      <w:r w:rsidRPr="00427FB0">
        <w:t>aquellas cuya recuperación se efectuará en un plazo mayor a doce meses y estas se presentan en el activo no circulante.</w:t>
      </w:r>
    </w:p>
    <w:p w14:paraId="26B1D0FA" w14:textId="77777777" w:rsidR="00432334" w:rsidRPr="00427FB0" w:rsidRDefault="00432334" w:rsidP="00CE065B">
      <w:pPr>
        <w:pStyle w:val="TEXTONORMAL"/>
        <w:ind w:left="998"/>
      </w:pPr>
    </w:p>
    <w:p w14:paraId="0EAAC743" w14:textId="77777777" w:rsidR="009D5C48" w:rsidRPr="008445E2" w:rsidRDefault="009D5C48" w:rsidP="003F2A12">
      <w:pPr>
        <w:pStyle w:val="TEXTONORMAL"/>
        <w:numPr>
          <w:ilvl w:val="0"/>
          <w:numId w:val="74"/>
        </w:numPr>
        <w:ind w:left="714" w:hanging="357"/>
        <w:rPr>
          <w:lang w:val="es-MX"/>
        </w:rPr>
      </w:pPr>
      <w:r w:rsidRPr="008445E2">
        <w:rPr>
          <w:lang w:val="es-MX"/>
        </w:rPr>
        <w:t>Concentración de riesgos</w:t>
      </w:r>
    </w:p>
    <w:p w14:paraId="48AB10E8" w14:textId="77777777" w:rsidR="009D5C48" w:rsidRPr="00427FB0" w:rsidRDefault="009D5C48" w:rsidP="009D5C48">
      <w:pPr>
        <w:pStyle w:val="TEXTONORMAL"/>
      </w:pPr>
      <w:r w:rsidRPr="00427FB0">
        <w:t xml:space="preserve">Los portafolios de inversión del Instituto se encuentran diversificados dependiendo de las características de cada reserva. Las inversiones y la administración de sus </w:t>
      </w:r>
      <w:r>
        <w:t>riesgos se realizan de acuerdo con</w:t>
      </w:r>
      <w:r w:rsidRPr="00427FB0">
        <w:t xml:space="preserve"> las Políticas y Directrices de inversión de las reservas institucionales.</w:t>
      </w:r>
    </w:p>
    <w:p w14:paraId="65B47DA1" w14:textId="77777777" w:rsidR="009D5C48" w:rsidRDefault="009D5C48" w:rsidP="009D5C48">
      <w:pPr>
        <w:pStyle w:val="TEXTONORMAL"/>
      </w:pPr>
      <w:r w:rsidRPr="00427FB0">
        <w:t>Los principales riesgos financieros a los que están expuestos los portafolios de inversión son e</w:t>
      </w:r>
      <w:r>
        <w:t>l riesgo de mercado, entendido e</w:t>
      </w:r>
      <w:r w:rsidRPr="00427FB0">
        <w:t>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14:paraId="58447229" w14:textId="77777777" w:rsidR="009D5C48" w:rsidRPr="00427FB0" w:rsidRDefault="009D5C48" w:rsidP="00C3324D">
      <w:pPr>
        <w:pStyle w:val="TEXTONORMAL"/>
      </w:pPr>
      <w:r w:rsidRPr="00427FB0">
        <w:t>El riesgo de mercado y el de crédito se calculan y monitorean, diariamente, mediante la métrica denominada Valor en Riesgo (VaR), conforme a los límites y parámetros establecidos en la normatividad institucional y se presentan cada sesión de la Comisión de Inversiones Financieras (CIF).</w:t>
      </w:r>
    </w:p>
    <w:p w14:paraId="54DC8594" w14:textId="77777777" w:rsidR="009D5C48" w:rsidRDefault="009D5C48" w:rsidP="00C3324D">
      <w:pPr>
        <w:pStyle w:val="TEXTONORMAL"/>
      </w:pPr>
      <w:r>
        <w:t>Adicionalmente, de manera trimestr</w:t>
      </w:r>
      <w:r w:rsidRPr="00427FB0">
        <w:t>al,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w:t>
      </w:r>
    </w:p>
    <w:p w14:paraId="2AFD742E" w14:textId="77777777" w:rsidR="009D5C48" w:rsidRDefault="009D5C48" w:rsidP="009D5C48">
      <w:pPr>
        <w:pStyle w:val="TEXTONORMAL"/>
        <w:spacing w:after="0"/>
      </w:pPr>
    </w:p>
    <w:p w14:paraId="585ED463" w14:textId="77777777" w:rsidR="009D5C48" w:rsidRPr="008445E2" w:rsidRDefault="009D5C48" w:rsidP="003F2A12">
      <w:pPr>
        <w:pStyle w:val="TEXTONORMAL"/>
        <w:numPr>
          <w:ilvl w:val="0"/>
          <w:numId w:val="74"/>
        </w:numPr>
        <w:ind w:left="714" w:hanging="357"/>
        <w:rPr>
          <w:lang w:val="es-MX"/>
        </w:rPr>
      </w:pPr>
      <w:r w:rsidRPr="008445E2">
        <w:rPr>
          <w:lang w:val="es-MX"/>
        </w:rPr>
        <w:t>Estimación por Pérdida o Deterioro de Activos</w:t>
      </w:r>
    </w:p>
    <w:p w14:paraId="4906C556" w14:textId="77777777" w:rsidR="009D5C48" w:rsidRPr="008D6C5F" w:rsidRDefault="009D5C48" w:rsidP="003F2A12">
      <w:pPr>
        <w:pStyle w:val="TEXTONORMAL"/>
        <w:numPr>
          <w:ilvl w:val="0"/>
          <w:numId w:val="77"/>
        </w:numPr>
        <w:ind w:left="998" w:hanging="284"/>
      </w:pPr>
      <w:r w:rsidRPr="008D6C5F">
        <w:t>Estimación de cuentas de cobro dudoso de cuotas obrero patronales</w:t>
      </w:r>
    </w:p>
    <w:p w14:paraId="23CD593F" w14:textId="77777777" w:rsidR="009D5C48" w:rsidRDefault="009D5C48" w:rsidP="009D5C48">
      <w:pPr>
        <w:pStyle w:val="TEXTONORMAL"/>
      </w:pPr>
      <w:r>
        <w:t>El Instituto tiene la política de establecer una estimación para cuotas obrero patronales por cobros de dudosa recuperación, calculada sobre el 1.25% sobre la emisión mensual anticipada de las cuotas obrero 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14:paraId="17E59A09" w14:textId="77777777" w:rsidR="009D5C48" w:rsidRDefault="009D5C48" w:rsidP="009D5C48">
      <w:pPr>
        <w:pStyle w:val="TEXTONORMAL"/>
      </w:pPr>
      <w:r>
        <w:t>Cuando el Consejo Consultivo del OOAD autoriza la cancelación de cuentas por cobrar, estas se aplican contra la estimación para multas y cuotas obrero-patronales.</w:t>
      </w:r>
    </w:p>
    <w:p w14:paraId="5E52FE12" w14:textId="77777777" w:rsidR="009D5C48" w:rsidRPr="008D6C5F" w:rsidRDefault="009D5C48" w:rsidP="003F2A12">
      <w:pPr>
        <w:pStyle w:val="TEXTONORMAL"/>
        <w:numPr>
          <w:ilvl w:val="0"/>
          <w:numId w:val="77"/>
        </w:numPr>
        <w:ind w:left="998" w:hanging="284"/>
      </w:pPr>
      <w:r w:rsidRPr="008D6C5F">
        <w:t>Estimación de cuentas de cobro dudoso de multas</w:t>
      </w:r>
    </w:p>
    <w:p w14:paraId="30E9D839" w14:textId="77777777" w:rsidR="009D5C48" w:rsidRDefault="009D5C48" w:rsidP="009D5C48">
      <w:pPr>
        <w:pStyle w:val="TEXTONORMAL"/>
      </w:pPr>
      <w:r>
        <w:t>El Instituto tiene la política de constituir una provisión para multas por cuotas obrero-patronales por cobrar, la cual es calculada aplicando un porcentaje del 70% sobre el saldo de dichas multas.</w:t>
      </w:r>
    </w:p>
    <w:p w14:paraId="1618DAD3" w14:textId="77777777" w:rsidR="009D5C48" w:rsidRPr="008D6C5F" w:rsidRDefault="009D5C48" w:rsidP="003F2A12">
      <w:pPr>
        <w:pStyle w:val="TEXTONORMAL"/>
        <w:numPr>
          <w:ilvl w:val="0"/>
          <w:numId w:val="74"/>
        </w:numPr>
        <w:ind w:left="714" w:hanging="357"/>
        <w:rPr>
          <w:lang w:val="es-MX"/>
        </w:rPr>
      </w:pPr>
      <w:r w:rsidRPr="008D6C5F">
        <w:rPr>
          <w:lang w:val="es-MX"/>
        </w:rPr>
        <w:t>Créditos hipotecarios y préstamos a mediano plazo al personal</w:t>
      </w:r>
    </w:p>
    <w:p w14:paraId="528F9B81" w14:textId="77777777" w:rsidR="00E92D50" w:rsidRDefault="009D5C48" w:rsidP="009D5C48">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14:paraId="6A4D8F4F" w14:textId="77777777" w:rsidR="00E92D50" w:rsidRDefault="00E92D50" w:rsidP="009D5C48">
      <w:pPr>
        <w:pStyle w:val="TEXTONORMAL"/>
      </w:pPr>
    </w:p>
    <w:p w14:paraId="3C7FB5AC" w14:textId="77777777" w:rsidR="009D5C48" w:rsidRPr="008D6C5F" w:rsidRDefault="009D5C48" w:rsidP="003F2A12">
      <w:pPr>
        <w:pStyle w:val="TEXTONORMAL"/>
        <w:numPr>
          <w:ilvl w:val="0"/>
          <w:numId w:val="74"/>
        </w:numPr>
        <w:ind w:left="714" w:hanging="357"/>
        <w:rPr>
          <w:lang w:val="es-MX"/>
        </w:rPr>
      </w:pPr>
      <w:r w:rsidRPr="008D6C5F">
        <w:rPr>
          <w:lang w:val="es-MX"/>
        </w:rPr>
        <w:t>Inventarios</w:t>
      </w:r>
    </w:p>
    <w:p w14:paraId="0A695783" w14:textId="77777777" w:rsidR="009D5C48" w:rsidRDefault="009D5C48" w:rsidP="009D5C48">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14:paraId="064EEFC5" w14:textId="77777777" w:rsidR="009D5C48" w:rsidRPr="008D6C5F" w:rsidRDefault="009D5C48" w:rsidP="003F2A12">
      <w:pPr>
        <w:pStyle w:val="TEXTONORMAL"/>
        <w:numPr>
          <w:ilvl w:val="0"/>
          <w:numId w:val="74"/>
        </w:numPr>
        <w:ind w:left="714" w:hanging="357"/>
        <w:rPr>
          <w:lang w:val="es-MX"/>
        </w:rPr>
      </w:pPr>
      <w:r w:rsidRPr="008D6C5F">
        <w:rPr>
          <w:lang w:val="es-MX"/>
        </w:rPr>
        <w:t>Almacenes</w:t>
      </w:r>
    </w:p>
    <w:p w14:paraId="1D510E5E" w14:textId="77777777" w:rsidR="009D5C48" w:rsidRDefault="009D5C48" w:rsidP="009D5C48">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49A0EFA9" w14:textId="77777777" w:rsidR="009D5C48" w:rsidRDefault="009D5C48" w:rsidP="009D5C48">
      <w:pPr>
        <w:pStyle w:val="TEXTONORMAL"/>
      </w:pPr>
      <w:r>
        <w:t>La estimación por deterioro de inventarios se determina aplicando el 0.5% sobre el saldo de inventarios al cierre del año, y se aplica conforme ocurren situaciones que generan mermas o bajas de almacenes por caducidad.</w:t>
      </w:r>
    </w:p>
    <w:p w14:paraId="3E16F31F" w14:textId="77777777" w:rsidR="009D5C48" w:rsidRPr="008D6C5F" w:rsidRDefault="009D5C48" w:rsidP="003F2A12">
      <w:pPr>
        <w:pStyle w:val="TEXTONORMAL"/>
        <w:numPr>
          <w:ilvl w:val="0"/>
          <w:numId w:val="74"/>
        </w:numPr>
        <w:ind w:left="714" w:hanging="357"/>
        <w:rPr>
          <w:lang w:val="es-MX"/>
        </w:rPr>
      </w:pPr>
      <w:r w:rsidRPr="008D6C5F">
        <w:rPr>
          <w:lang w:val="es-MX"/>
        </w:rPr>
        <w:t>Bienes muebles e inmuebles, infraestructura y construcciones en proceso</w:t>
      </w:r>
    </w:p>
    <w:p w14:paraId="1179C61B" w14:textId="77777777" w:rsidR="009D5C48" w:rsidRDefault="009D5C48" w:rsidP="009D5C48">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14:paraId="07B1A51F" w14:textId="77777777" w:rsidR="009D5C48" w:rsidRDefault="009D5C48" w:rsidP="009D5C48">
      <w:pPr>
        <w:pStyle w:val="TEXTONORMAL"/>
      </w:pPr>
      <w:r>
        <w:t>La depreciación de los inmuebles, mobiliario y equipo se calcula utilizando el método de línea recta y con base en su vida útil estimada (Ver nota 1.10), sobre el valor de los activos históricos.</w:t>
      </w:r>
    </w:p>
    <w:p w14:paraId="4518494A" w14:textId="77777777" w:rsidR="009D5C48" w:rsidRPr="00642E41" w:rsidRDefault="009D5C48" w:rsidP="003F2A12">
      <w:pPr>
        <w:pStyle w:val="TEXTONORMAL"/>
        <w:numPr>
          <w:ilvl w:val="0"/>
          <w:numId w:val="74"/>
        </w:numPr>
        <w:ind w:left="714" w:hanging="357"/>
        <w:rPr>
          <w:lang w:val="es-MX"/>
        </w:rPr>
      </w:pPr>
      <w:r w:rsidRPr="00642E41">
        <w:rPr>
          <w:lang w:val="es-MX"/>
        </w:rPr>
        <w:t>Arrendamientos</w:t>
      </w:r>
    </w:p>
    <w:p w14:paraId="4FC06A1B" w14:textId="77777777" w:rsidR="009D5C48" w:rsidRDefault="009D5C48" w:rsidP="009D5C48">
      <w:pPr>
        <w:pStyle w:val="TEXTONORMAL"/>
      </w:pPr>
      <w:r>
        <w:t xml:space="preserve">Al </w:t>
      </w:r>
      <w:r w:rsidR="00B035FC">
        <w:t xml:space="preserve">30 de </w:t>
      </w:r>
      <w:r w:rsidR="00083342">
        <w:t>septiembre</w:t>
      </w:r>
      <w:r w:rsidR="00407668">
        <w:t xml:space="preserve"> </w:t>
      </w:r>
      <w:r>
        <w:t>de 202</w:t>
      </w:r>
      <w:r w:rsidR="00407668">
        <w:t>2</w:t>
      </w:r>
      <w:r>
        <w:t xml:space="preserve"> y </w:t>
      </w:r>
      <w:r w:rsidR="00407668">
        <w:t xml:space="preserve">31 de diciembre </w:t>
      </w:r>
      <w:r>
        <w:t>202</w:t>
      </w:r>
      <w:r w:rsidR="00407668">
        <w:t>1</w:t>
      </w:r>
      <w:r>
        <w:t>, el Instituto no tiene celebrados contratos de arrendamiento capitalizable.</w:t>
      </w:r>
    </w:p>
    <w:p w14:paraId="23B37FED" w14:textId="77777777" w:rsidR="009D5C48" w:rsidRDefault="009D5C48" w:rsidP="009D5C48">
      <w:pPr>
        <w:pStyle w:val="TEXTONORMAL"/>
      </w:pPr>
      <w:r>
        <w:t>Cuando los riesgos y beneficios inherentes a la propiedad del activo arrendado permanecen sustancialmente con el arrendador, se clasifican como arrendamientos operativos y las rentas devengadas se cargan a resultados conforme se incurren.</w:t>
      </w:r>
    </w:p>
    <w:p w14:paraId="383F7313" w14:textId="77777777" w:rsidR="009D5C48" w:rsidRPr="00642E41" w:rsidRDefault="009D5C48" w:rsidP="003F2A12">
      <w:pPr>
        <w:pStyle w:val="TEXTONORMAL"/>
        <w:numPr>
          <w:ilvl w:val="0"/>
          <w:numId w:val="74"/>
        </w:numPr>
        <w:ind w:left="714" w:hanging="357"/>
        <w:rPr>
          <w:lang w:val="es-MX"/>
        </w:rPr>
      </w:pPr>
      <w:r w:rsidRPr="00642E41">
        <w:rPr>
          <w:lang w:val="es-MX"/>
        </w:rPr>
        <w:t>Pasivos, provisiones, activos y pasivos contingentes y compromisos</w:t>
      </w:r>
    </w:p>
    <w:p w14:paraId="752E80C8" w14:textId="77777777" w:rsidR="009D5C48" w:rsidRDefault="009D5C48" w:rsidP="009D5C48">
      <w:pPr>
        <w:pStyle w:val="TEXTONORMAL"/>
      </w:pPr>
      <w:r>
        <w:t xml:space="preserve">Los pasivos por provisiones se reconocen cuando: i) existe una obligación presente (legal o asumida) como resultado de un evento pasado, </w:t>
      </w:r>
      <w:proofErr w:type="spellStart"/>
      <w:r>
        <w:t>ii</w:t>
      </w:r>
      <w:proofErr w:type="spellEnd"/>
      <w:r>
        <w:t xml:space="preserve">) es probable que se requiera la salida de recursos económicos como medio para liquidar dicha obligación, y </w:t>
      </w:r>
      <w:proofErr w:type="spellStart"/>
      <w:r>
        <w:t>iii</w:t>
      </w:r>
      <w:proofErr w:type="spellEnd"/>
      <w:r>
        <w:t xml:space="preserve">) la obligación pueda ser estimada razonablemente. </w:t>
      </w:r>
    </w:p>
    <w:p w14:paraId="140F738B" w14:textId="77777777" w:rsidR="000369EC" w:rsidRDefault="009D5C48" w:rsidP="009D5C48">
      <w:pPr>
        <w:pStyle w:val="TEXTONORMAL"/>
      </w:pPr>
      <w:r>
        <w:t xml:space="preserve">Las provisiones por pasivos contingentes se reconocen solamente cuando es probable la salida de recursos para su extinción. </w:t>
      </w:r>
    </w:p>
    <w:p w14:paraId="2FD04AC7" w14:textId="77777777" w:rsidR="009D5C48" w:rsidRPr="00642E41" w:rsidRDefault="009D5C48" w:rsidP="003F2A12">
      <w:pPr>
        <w:pStyle w:val="TEXTONORMAL"/>
        <w:numPr>
          <w:ilvl w:val="0"/>
          <w:numId w:val="74"/>
        </w:numPr>
        <w:ind w:left="714" w:hanging="357"/>
        <w:rPr>
          <w:lang w:val="es-MX"/>
        </w:rPr>
      </w:pPr>
      <w:r w:rsidRPr="00642E41">
        <w:rPr>
          <w:lang w:val="es-MX"/>
        </w:rPr>
        <w:t>Beneficios a los empleados</w:t>
      </w:r>
    </w:p>
    <w:p w14:paraId="64D17F5F" w14:textId="77777777" w:rsidR="009D5C48" w:rsidRDefault="009D5C48" w:rsidP="009D5C48">
      <w:pPr>
        <w:pStyle w:val="TEXTONORMAL"/>
      </w:pPr>
      <w:r>
        <w:t xml:space="preserve">El Instituto otorga a sus empleados el plan de pensiones denominado Régimen de Jubilaciones y Pensiones (RJP), el cual se encuentra inserto en su CCT. El RJP cubre al personal contratado hasta el 15 de octubre de 2005, y las jubilaciones y pensiones se determinan considerando el último salario al momento de pensión, los años de servicio como empleado del Instituto y el cumplimento del requisito de edad cuando así corresponde. Así mismo, el Instituto otorga beneficios por prima de antigüedad e indemnizaciones conforme a lo que establece el CCT y, en el caso del personal </w:t>
      </w:r>
      <w:r>
        <w:lastRenderedPageBreak/>
        <w:t>de Confianza “A” contratado a partir del 1 de enero de 2012, de acuerdo con el Estatuto de Trabajadores de Confianza “A” del Instituto Mexicano del Seguro Social y la Ley Federal del Trabajo.</w:t>
      </w:r>
    </w:p>
    <w:p w14:paraId="54103980" w14:textId="77777777" w:rsidR="009D5C48" w:rsidRPr="00AE7030" w:rsidRDefault="009D5C48" w:rsidP="00AE7030">
      <w:pPr>
        <w:pStyle w:val="TEXTONORMAL"/>
      </w:pPr>
      <w:r>
        <w:t xml:space="preserve">Los costos por el plan de pensiones y de la prima de antigüedad e indemnizaciones se determinan anualmente con base en cálculos efectuados por actuarios independientes, mediante el método de crédito unitario proyectado y utilizando hipótesis financieras determinadas de acuerdo con lo que establece la NIF D-3. La última valuación se efectúo con cifras al cierre de diciembre de 2021. El registro se realiza con apego a la </w:t>
      </w:r>
      <w:r w:rsidR="00B035FC">
        <w:rPr>
          <w:lang w:val="es-MX"/>
        </w:rPr>
        <w:t>“Lineamientos Contables”, inciso E</w:t>
      </w:r>
      <w:r w:rsidR="00B035FC" w:rsidRPr="0030177F">
        <w:rPr>
          <w:lang w:val="es-MX"/>
        </w:rPr>
        <w:t xml:space="preserve"> </w:t>
      </w:r>
      <w:r w:rsidR="00B035FC">
        <w:rPr>
          <w:lang w:val="es-MX"/>
        </w:rPr>
        <w:t>“</w:t>
      </w:r>
      <w:r w:rsidR="00B035FC" w:rsidRPr="0030177F">
        <w:rPr>
          <w:lang w:val="es-MX"/>
        </w:rPr>
        <w:t>Obligaciones Laborales</w:t>
      </w:r>
      <w:r w:rsidR="00B035FC">
        <w:rPr>
          <w:lang w:val="es-MX"/>
        </w:rPr>
        <w:t>”.</w:t>
      </w:r>
    </w:p>
    <w:p w14:paraId="0D7AC31D" w14:textId="77777777" w:rsidR="009D5C48" w:rsidRPr="004C6870" w:rsidRDefault="009D5C48" w:rsidP="003F2A12">
      <w:pPr>
        <w:pStyle w:val="VIETAFLECHA"/>
        <w:numPr>
          <w:ilvl w:val="0"/>
          <w:numId w:val="78"/>
        </w:numPr>
        <w:ind w:left="357" w:hanging="357"/>
      </w:pPr>
      <w:r w:rsidRPr="004C6870">
        <w:t>Segmentos por ramo de seguro</w:t>
      </w:r>
    </w:p>
    <w:p w14:paraId="399BDA52" w14:textId="77777777" w:rsidR="009D5C48" w:rsidRDefault="009D5C48" w:rsidP="009D5C48">
      <w:pPr>
        <w:pStyle w:val="TEXTONORMAL"/>
      </w:pPr>
      <w:r>
        <w:t>El artículo 277-E de la LSS, establece que los ingresos y gastos del Instituto se registrarán contablemente por separado, por cada uno de los ramos de seguro, de conformidad con las bases descritas en la metodología establecida por el Instituto y aprobada por el H. Consejo Técnico.</w:t>
      </w:r>
    </w:p>
    <w:p w14:paraId="2B134AC4" w14:textId="77777777" w:rsidR="009D5C48" w:rsidRDefault="009D5C48" w:rsidP="009D5C48">
      <w:pPr>
        <w:pStyle w:val="TEXTONORMAL"/>
      </w:pPr>
      <w:r>
        <w:t>Por acuerdo 19/2006 del 26 de enero de 2006, el H. Consejo Técnico aprobó las “Reglas de Carácter General para la Distribución de Gastos del Instituto”. En estas reglas se determina que la distribución del gasto de la atención médica se realizará considerando un factor de utilización de los servicios médicos, que se calculó con base en encuestas de servicios prestados a los asegurados que aplicó un despacho de actuarios independientes.</w:t>
      </w:r>
    </w:p>
    <w:p w14:paraId="1E2805EA" w14:textId="77777777" w:rsidR="007F7CB9" w:rsidRDefault="009D5C48" w:rsidP="009D5C48">
      <w:pPr>
        <w:pStyle w:val="TEXTONORMAL"/>
      </w:pPr>
      <w:r>
        <w:t xml:space="preserve">Las bases de contabilización mencionadas por ramo de </w:t>
      </w:r>
      <w:r w:rsidR="00FC2C82">
        <w:t>seguro</w:t>
      </w:r>
      <w:r>
        <w:t xml:space="preserve"> son utilizadas para determinar los remanentes de cada seguro y tienen como propósito, el lograr un mejor enfrentamiento de los ingresos contra los gastos de cada seguro y así medir con mayor precisión los resultados obtenidos por cada uno de ellos.</w:t>
      </w:r>
    </w:p>
    <w:p w14:paraId="0077AB24" w14:textId="77777777" w:rsidR="009D5C48" w:rsidRPr="00936E2A" w:rsidRDefault="009D5C48" w:rsidP="003F2A12">
      <w:pPr>
        <w:pStyle w:val="VIETAFLECHA"/>
        <w:numPr>
          <w:ilvl w:val="0"/>
          <w:numId w:val="79"/>
        </w:numPr>
        <w:ind w:left="357" w:hanging="357"/>
      </w:pPr>
      <w:r w:rsidRPr="00936E2A">
        <w:t xml:space="preserve">Eventos Posteriores al Cierre </w:t>
      </w:r>
    </w:p>
    <w:p w14:paraId="09ED4259" w14:textId="77777777" w:rsidR="007F7CB9" w:rsidRDefault="009D5C48" w:rsidP="009D5C48">
      <w:pPr>
        <w:pStyle w:val="TEXTONORMAL"/>
      </w:pPr>
      <w:r>
        <w:t>El Instituto no presenta eventos posteriores al cierre.</w:t>
      </w:r>
    </w:p>
    <w:p w14:paraId="6E1701A2" w14:textId="77777777" w:rsidR="009D5C48" w:rsidRPr="00936E2A" w:rsidRDefault="009D5C48" w:rsidP="003F2A12">
      <w:pPr>
        <w:pStyle w:val="VIETAFLECHA"/>
        <w:numPr>
          <w:ilvl w:val="0"/>
          <w:numId w:val="79"/>
        </w:numPr>
        <w:ind w:left="357" w:hanging="357"/>
      </w:pPr>
      <w:r w:rsidRPr="00936E2A">
        <w:t>Partes Relacionadas</w:t>
      </w:r>
    </w:p>
    <w:p w14:paraId="03A69D21" w14:textId="77777777" w:rsidR="007F7CB9" w:rsidRPr="00936E2A" w:rsidRDefault="009D5C48" w:rsidP="009D5C48">
      <w:pPr>
        <w:pStyle w:val="TEXTONORMAL"/>
      </w:pPr>
      <w:r>
        <w:t xml:space="preserve">No existen partes relacionadas que pudieran ejercer influencia significativa sobre la toma de decisiones financieras y operativas. </w:t>
      </w:r>
    </w:p>
    <w:p w14:paraId="29E69AD6" w14:textId="77777777" w:rsidR="009D5C48" w:rsidRPr="00936E2A" w:rsidRDefault="009D5C48" w:rsidP="003F2A12">
      <w:pPr>
        <w:pStyle w:val="VIETAFLECHA"/>
        <w:numPr>
          <w:ilvl w:val="0"/>
          <w:numId w:val="79"/>
        </w:numPr>
        <w:ind w:left="357" w:hanging="357"/>
      </w:pPr>
      <w:r w:rsidRPr="00936E2A">
        <w:t>Otras Revelaciones</w:t>
      </w:r>
    </w:p>
    <w:p w14:paraId="0ECEBECA" w14:textId="77777777" w:rsidR="009D5C48" w:rsidRPr="007F7CB9" w:rsidRDefault="009D5C48" w:rsidP="003F2A12">
      <w:pPr>
        <w:pStyle w:val="TEXTONORMAL"/>
        <w:numPr>
          <w:ilvl w:val="0"/>
          <w:numId w:val="80"/>
        </w:numPr>
        <w:rPr>
          <w:lang w:val="es-MX"/>
        </w:rPr>
      </w:pPr>
      <w:r w:rsidRPr="007F7CB9">
        <w:rPr>
          <w:lang w:val="es-MX"/>
        </w:rPr>
        <w:t>Beneficios a los Empleados</w:t>
      </w:r>
    </w:p>
    <w:p w14:paraId="2C7A03F5" w14:textId="77777777" w:rsidR="009D5C48" w:rsidRPr="009C1F6C" w:rsidRDefault="009D5C48" w:rsidP="00936E2A">
      <w:pPr>
        <w:spacing w:after="120" w:line="250" w:lineRule="exact"/>
        <w:jc w:val="both"/>
        <w:rPr>
          <w:rFonts w:ascii="Montserrat" w:hAnsi="Montserrat"/>
          <w:sz w:val="18"/>
          <w:szCs w:val="18"/>
        </w:rPr>
      </w:pPr>
      <w:r w:rsidRPr="009C1F6C">
        <w:rPr>
          <w:rFonts w:ascii="Montserrat" w:hAnsi="Montserrat"/>
          <w:sz w:val="18"/>
          <w:szCs w:val="18"/>
        </w:rPr>
        <w:t xml:space="preserve">Conforme a lo que se establece en el Contrato Colectivo de Trabajo (CCT), la separación de la actividad laboral de la población de trabajadores del Instituto, ya sea por motivo de una contingencia laboral o no laboral que cause alguna incapacidad, fallecimiento, retiro, o una rescisión laboral (renuncia o despido), conlleva a las siguientes prestaciones: </w:t>
      </w:r>
    </w:p>
    <w:p w14:paraId="5FF686CC" w14:textId="77777777" w:rsidR="009D5C48" w:rsidRDefault="009D5C48" w:rsidP="003F2A12">
      <w:pPr>
        <w:pStyle w:val="Prrafodelista"/>
        <w:numPr>
          <w:ilvl w:val="0"/>
          <w:numId w:val="81"/>
        </w:numPr>
        <w:spacing w:after="120" w:line="250" w:lineRule="exact"/>
        <w:ind w:left="998" w:hanging="284"/>
        <w:contextualSpacing w:val="0"/>
        <w:jc w:val="both"/>
        <w:rPr>
          <w:rFonts w:ascii="Montserrat" w:hAnsi="Montserrat"/>
          <w:sz w:val="18"/>
          <w:szCs w:val="18"/>
          <w:lang w:val="es-ES"/>
        </w:rPr>
      </w:pPr>
      <w:r w:rsidRPr="009C1F6C">
        <w:rPr>
          <w:rFonts w:ascii="Montserrat" w:hAnsi="Montserrat"/>
          <w:sz w:val="18"/>
          <w:szCs w:val="18"/>
          <w:lang w:val="es-ES"/>
        </w:rPr>
        <w:t xml:space="preserve">El derecho a los beneficios establecidos en el plan de pensiones denominado Régimen de Jubilaciones y Pensiones (RJP), correspondientes a las jubilaciones y pensiones al personal contratado hasta el 15 de octubre de 2005, una vez que cumpla con los requisitos establecidos en dicho plan. </w:t>
      </w:r>
    </w:p>
    <w:p w14:paraId="0F9E342D" w14:textId="77777777" w:rsidR="00560D7E" w:rsidRPr="00586DDC" w:rsidRDefault="009D5C48" w:rsidP="00560D7E">
      <w:pPr>
        <w:pStyle w:val="Prrafodelista"/>
        <w:numPr>
          <w:ilvl w:val="0"/>
          <w:numId w:val="81"/>
        </w:numPr>
        <w:spacing w:after="120" w:line="250" w:lineRule="exact"/>
        <w:ind w:left="998" w:hanging="284"/>
        <w:contextualSpacing w:val="0"/>
        <w:jc w:val="both"/>
        <w:rPr>
          <w:rFonts w:ascii="Montserrat" w:hAnsi="Montserrat"/>
          <w:sz w:val="18"/>
          <w:szCs w:val="18"/>
        </w:rPr>
      </w:pPr>
      <w:r w:rsidRPr="009C1F6C">
        <w:rPr>
          <w:rFonts w:ascii="Montserrat" w:hAnsi="Montserrat"/>
          <w:sz w:val="18"/>
          <w:szCs w:val="18"/>
          <w:lang w:val="es-ES"/>
        </w:rPr>
        <w:t>Los beneficios por prima de antigüedad e indemnizaciones</w:t>
      </w:r>
      <w:r>
        <w:rPr>
          <w:rFonts w:ascii="Montserrat" w:hAnsi="Montserrat"/>
          <w:sz w:val="18"/>
          <w:szCs w:val="18"/>
          <w:lang w:val="es-ES"/>
        </w:rPr>
        <w:t xml:space="preserve">, los cuales </w:t>
      </w:r>
      <w:r w:rsidRPr="009C1F6C">
        <w:rPr>
          <w:rFonts w:ascii="Montserrat" w:hAnsi="Montserrat"/>
          <w:sz w:val="18"/>
          <w:szCs w:val="18"/>
        </w:rPr>
        <w:t>se otorgan al personal de confianza “A” contratado a partir del 1 de enero de 2012, con base en lo previsto en el Estatuto de Trabajadores de Confianza “A” del Instituto Mexicano del Seguro Social y la Ley Federal del Trabajo.</w:t>
      </w:r>
    </w:p>
    <w:p w14:paraId="434463AF" w14:textId="77777777" w:rsidR="00560D7E" w:rsidRPr="00560D7E" w:rsidRDefault="00560D7E" w:rsidP="00560D7E">
      <w:pPr>
        <w:spacing w:after="120" w:line="250" w:lineRule="exact"/>
        <w:jc w:val="both"/>
        <w:rPr>
          <w:rFonts w:ascii="Montserrat" w:hAnsi="Montserrat"/>
          <w:sz w:val="18"/>
          <w:szCs w:val="18"/>
        </w:rPr>
      </w:pPr>
    </w:p>
    <w:p w14:paraId="31B11966" w14:textId="77777777" w:rsidR="00035738" w:rsidRPr="00035738" w:rsidRDefault="00035738" w:rsidP="00035738">
      <w:pPr>
        <w:pStyle w:val="TEXTONORMAL"/>
        <w:numPr>
          <w:ilvl w:val="0"/>
          <w:numId w:val="80"/>
        </w:numPr>
        <w:rPr>
          <w:lang w:val="es-MX"/>
        </w:rPr>
      </w:pPr>
      <w:r w:rsidRPr="00035738">
        <w:rPr>
          <w:lang w:val="es-MX"/>
        </w:rPr>
        <w:t xml:space="preserve">Tipo de cambio </w:t>
      </w:r>
    </w:p>
    <w:p w14:paraId="72283C50" w14:textId="77777777" w:rsidR="00035738" w:rsidRPr="00035738" w:rsidRDefault="00035738" w:rsidP="00035738">
      <w:pPr>
        <w:pStyle w:val="Prrafodelista"/>
        <w:autoSpaceDE w:val="0"/>
        <w:autoSpaceDN w:val="0"/>
        <w:adjustRightInd w:val="0"/>
        <w:spacing w:after="0" w:line="240" w:lineRule="auto"/>
        <w:jc w:val="both"/>
        <w:rPr>
          <w:rFonts w:ascii="Montserrat" w:hAnsi="Montserrat"/>
          <w:sz w:val="18"/>
          <w:szCs w:val="18"/>
        </w:rPr>
      </w:pPr>
    </w:p>
    <w:p w14:paraId="0C9EB63D" w14:textId="77777777" w:rsidR="00035738" w:rsidRPr="00035738" w:rsidRDefault="00035738" w:rsidP="00035738">
      <w:pPr>
        <w:autoSpaceDE w:val="0"/>
        <w:autoSpaceDN w:val="0"/>
        <w:adjustRightInd w:val="0"/>
        <w:spacing w:after="0" w:line="240" w:lineRule="auto"/>
        <w:jc w:val="both"/>
        <w:rPr>
          <w:rFonts w:ascii="Montserrat" w:hAnsi="Montserrat"/>
          <w:sz w:val="18"/>
          <w:szCs w:val="18"/>
        </w:rPr>
      </w:pPr>
      <w:r w:rsidRPr="00035738">
        <w:rPr>
          <w:rFonts w:ascii="Montserrat" w:hAnsi="Montserrat"/>
          <w:sz w:val="18"/>
          <w:szCs w:val="18"/>
        </w:rPr>
        <w:t xml:space="preserve">Las transacciones en moneda extranjera se registran al tipo de cambio aplicable a la fecha de su celebración. Los activos y pasivos en moneda extranjera se valúan al tipo de cambio de la fecha del estado de situación financiera. </w:t>
      </w:r>
    </w:p>
    <w:p w14:paraId="3FC1E84D" w14:textId="77777777" w:rsidR="00035738" w:rsidRPr="00035738" w:rsidRDefault="00035738" w:rsidP="00035738">
      <w:pPr>
        <w:pStyle w:val="Prrafodelista"/>
        <w:autoSpaceDE w:val="0"/>
        <w:autoSpaceDN w:val="0"/>
        <w:adjustRightInd w:val="0"/>
        <w:spacing w:after="0" w:line="240" w:lineRule="auto"/>
        <w:jc w:val="both"/>
        <w:rPr>
          <w:rFonts w:ascii="Montserrat" w:hAnsi="Montserrat"/>
          <w:sz w:val="18"/>
          <w:szCs w:val="18"/>
        </w:rPr>
      </w:pPr>
    </w:p>
    <w:p w14:paraId="0CF996E9" w14:textId="77777777" w:rsidR="0062293C" w:rsidRDefault="000E6E18" w:rsidP="00035738">
      <w:pPr>
        <w:autoSpaceDE w:val="0"/>
        <w:autoSpaceDN w:val="0"/>
        <w:adjustRightInd w:val="0"/>
        <w:spacing w:line="240" w:lineRule="auto"/>
        <w:jc w:val="both"/>
        <w:rPr>
          <w:rFonts w:ascii="Montserrat" w:hAnsi="Montserrat"/>
          <w:sz w:val="18"/>
          <w:szCs w:val="18"/>
        </w:rPr>
      </w:pPr>
      <w:r w:rsidRPr="00C73FC4">
        <w:rPr>
          <w:rFonts w:ascii="Montserrat" w:hAnsi="Montserrat"/>
          <w:sz w:val="18"/>
          <w:szCs w:val="18"/>
        </w:rPr>
        <w:t xml:space="preserve">El tipo de cambio </w:t>
      </w:r>
      <w:r>
        <w:rPr>
          <w:rFonts w:ascii="Montserrat" w:hAnsi="Montserrat"/>
          <w:sz w:val="18"/>
          <w:szCs w:val="18"/>
        </w:rPr>
        <w:t>a</w:t>
      </w:r>
      <w:r w:rsidRPr="00187F67">
        <w:rPr>
          <w:rFonts w:ascii="Montserrat" w:hAnsi="Montserrat"/>
          <w:sz w:val="18"/>
          <w:szCs w:val="18"/>
        </w:rPr>
        <w:t xml:space="preserve">l </w:t>
      </w:r>
      <w:r>
        <w:rPr>
          <w:rFonts w:ascii="Montserrat" w:hAnsi="Montserrat"/>
          <w:sz w:val="18"/>
          <w:szCs w:val="18"/>
        </w:rPr>
        <w:t xml:space="preserve">30 de septiembre de 2022 </w:t>
      </w:r>
      <w:r w:rsidRPr="00187F67">
        <w:rPr>
          <w:rFonts w:ascii="Montserrat" w:hAnsi="Montserrat"/>
          <w:sz w:val="18"/>
          <w:szCs w:val="18"/>
        </w:rPr>
        <w:t>y al 31 de diciembre de 2021</w:t>
      </w:r>
      <w:r w:rsidRPr="00C73FC4">
        <w:rPr>
          <w:rFonts w:ascii="Montserrat" w:hAnsi="Montserrat"/>
          <w:sz w:val="18"/>
          <w:szCs w:val="18"/>
        </w:rPr>
        <w:t xml:space="preserve"> fue de</w:t>
      </w:r>
      <w:r w:rsidRPr="00484C60">
        <w:rPr>
          <w:rFonts w:ascii="Montserrat" w:hAnsi="Montserrat"/>
          <w:sz w:val="18"/>
          <w:szCs w:val="18"/>
        </w:rPr>
        <w:t xml:space="preserve"> </w:t>
      </w:r>
      <w:r w:rsidRPr="000E6E18">
        <w:rPr>
          <w:rFonts w:ascii="Montserrat" w:hAnsi="Montserrat"/>
          <w:sz w:val="18"/>
          <w:szCs w:val="18"/>
        </w:rPr>
        <w:t>20.3058 pesos y</w:t>
      </w:r>
      <w:r w:rsidRPr="00484C60">
        <w:rPr>
          <w:rFonts w:ascii="Montserrat" w:hAnsi="Montserrat"/>
          <w:sz w:val="18"/>
          <w:szCs w:val="18"/>
        </w:rPr>
        <w:t xml:space="preserve"> 20.5835 pesos, respectivamente</w:t>
      </w:r>
      <w:r w:rsidRPr="00C73FC4">
        <w:rPr>
          <w:rFonts w:ascii="Montserrat" w:hAnsi="Montserrat"/>
          <w:sz w:val="18"/>
          <w:szCs w:val="18"/>
        </w:rPr>
        <w:t xml:space="preserve"> por dólar americano, según la publicación del DOF</w:t>
      </w:r>
      <w:r>
        <w:rPr>
          <w:rFonts w:ascii="Montserrat" w:hAnsi="Montserrat"/>
          <w:sz w:val="18"/>
          <w:szCs w:val="18"/>
        </w:rPr>
        <w:t>.</w:t>
      </w:r>
    </w:p>
    <w:p w14:paraId="5E1F2051" w14:textId="77777777" w:rsidR="00035738" w:rsidRPr="00035738" w:rsidRDefault="00035738" w:rsidP="00035738">
      <w:pPr>
        <w:pStyle w:val="TEXTONORMAL"/>
        <w:numPr>
          <w:ilvl w:val="0"/>
          <w:numId w:val="80"/>
        </w:numPr>
        <w:rPr>
          <w:lang w:val="es-MX"/>
        </w:rPr>
      </w:pPr>
      <w:r w:rsidRPr="00035738">
        <w:rPr>
          <w:lang w:val="es-MX"/>
        </w:rPr>
        <w:t xml:space="preserve">Posición en moneda extranjera </w:t>
      </w:r>
    </w:p>
    <w:p w14:paraId="6B279BB0" w14:textId="77777777" w:rsidR="00035738" w:rsidRDefault="00035738" w:rsidP="00035738">
      <w:pPr>
        <w:pStyle w:val="TEXTONORMAL"/>
        <w:ind w:left="714"/>
        <w:rPr>
          <w:lang w:val="es-MX"/>
        </w:rPr>
      </w:pPr>
      <w:r w:rsidRPr="0082264B">
        <w:rPr>
          <w:lang w:val="es-MX"/>
        </w:rPr>
        <w:t xml:space="preserve">La posición en moneda extranjera al </w:t>
      </w:r>
      <w:r w:rsidR="00A90ED4" w:rsidRPr="00B139E5">
        <w:t>30 de</w:t>
      </w:r>
      <w:r w:rsidR="00586DDC">
        <w:t xml:space="preserve"> septiembre</w:t>
      </w:r>
      <w:r w:rsidR="00A90ED4" w:rsidRPr="00B139E5">
        <w:t xml:space="preserve"> de 2022 y al 31 de diciembre de 2021</w:t>
      </w:r>
      <w:r w:rsidR="00A90ED4">
        <w:t xml:space="preserve"> </w:t>
      </w:r>
      <w:r w:rsidRPr="0082264B">
        <w:rPr>
          <w:lang w:val="es-MX"/>
        </w:rPr>
        <w:t>asciende a:</w:t>
      </w:r>
    </w:p>
    <w:tbl>
      <w:tblPr>
        <w:tblpPr w:leftFromText="141" w:rightFromText="141" w:vertAnchor="text" w:horzAnchor="margin" w:tblpXSpec="center" w:tblpY="72"/>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34"/>
        <w:gridCol w:w="352"/>
        <w:gridCol w:w="2467"/>
        <w:gridCol w:w="352"/>
        <w:gridCol w:w="2214"/>
      </w:tblGrid>
      <w:tr w:rsidR="00035738" w:rsidRPr="00D2305D" w14:paraId="6A9CB98A" w14:textId="77777777" w:rsidTr="00A90ED4">
        <w:trPr>
          <w:trHeight w:val="88"/>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698CAE17" w14:textId="77777777" w:rsidR="00035738" w:rsidRPr="00D2305D" w:rsidRDefault="00035738" w:rsidP="006B29AE">
            <w:pPr>
              <w:spacing w:after="0" w:line="240" w:lineRule="exact"/>
              <w:jc w:val="center"/>
              <w:rPr>
                <w:rFonts w:ascii="Montserrat" w:hAnsi="Montserrat"/>
                <w:b/>
                <w:color w:val="FFFFFF"/>
                <w:sz w:val="16"/>
                <w:szCs w:val="16"/>
              </w:rPr>
            </w:pPr>
            <w:r w:rsidRPr="00D2305D">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4FF8BA2" w14:textId="77777777" w:rsidR="00035738" w:rsidRPr="00D2305D" w:rsidRDefault="00035738" w:rsidP="006B29AE">
            <w:pPr>
              <w:spacing w:after="0" w:line="240" w:lineRule="exact"/>
              <w:jc w:val="center"/>
              <w:rPr>
                <w:rFonts w:ascii="Montserrat" w:hAnsi="Montserrat"/>
                <w:b/>
                <w:color w:val="FFFFFF"/>
                <w:sz w:val="16"/>
                <w:szCs w:val="16"/>
              </w:rPr>
            </w:pPr>
            <w:r w:rsidRPr="00D2305D">
              <w:rPr>
                <w:rFonts w:ascii="Montserrat" w:hAnsi="Montserrat"/>
                <w:b/>
                <w:color w:val="FFFFFF"/>
                <w:sz w:val="16"/>
                <w:szCs w:val="16"/>
              </w:rPr>
              <w:t>Cifras en miles de dólares americanos</w:t>
            </w:r>
          </w:p>
        </w:tc>
      </w:tr>
      <w:tr w:rsidR="00035738" w:rsidRPr="00D2305D" w14:paraId="03D52382" w14:textId="77777777" w:rsidTr="00A90ED4">
        <w:trPr>
          <w:trHeight w:val="91"/>
        </w:trPr>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1986CE5C" w14:textId="77777777" w:rsidR="00035738" w:rsidRPr="00D2305D" w:rsidRDefault="00035738" w:rsidP="006B29AE">
            <w:pPr>
              <w:spacing w:after="0" w:line="240" w:lineRule="auto"/>
              <w:rPr>
                <w:rFonts w:ascii="Montserrat" w:hAnsi="Montserrat"/>
                <w:b/>
                <w:color w:val="FFFFFF"/>
                <w:sz w:val="16"/>
                <w:szCs w:val="16"/>
              </w:rPr>
            </w:pPr>
          </w:p>
        </w:tc>
        <w:tc>
          <w:tcPr>
            <w:tcW w:w="0" w:type="auto"/>
            <w:gridSpan w:val="2"/>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63A75020" w14:textId="77777777" w:rsidR="00035738" w:rsidRPr="00D2305D" w:rsidRDefault="00586DDC" w:rsidP="00A90ED4">
            <w:pPr>
              <w:spacing w:after="0" w:line="240" w:lineRule="exact"/>
              <w:jc w:val="center"/>
              <w:rPr>
                <w:rFonts w:ascii="Montserrat" w:hAnsi="Montserrat"/>
                <w:b/>
                <w:color w:val="FFFFFF"/>
                <w:sz w:val="16"/>
                <w:szCs w:val="16"/>
              </w:rPr>
            </w:pPr>
            <w:r>
              <w:rPr>
                <w:rFonts w:ascii="Montserrat" w:hAnsi="Montserrat"/>
                <w:b/>
                <w:color w:val="FFFFFF"/>
                <w:sz w:val="16"/>
                <w:szCs w:val="16"/>
              </w:rPr>
              <w:t>Septiembre</w:t>
            </w:r>
            <w:r w:rsidR="00A90ED4">
              <w:rPr>
                <w:rFonts w:ascii="Montserrat" w:hAnsi="Montserrat"/>
                <w:b/>
                <w:color w:val="FFFFFF"/>
                <w:sz w:val="16"/>
                <w:szCs w:val="16"/>
              </w:rPr>
              <w:t xml:space="preserve"> </w:t>
            </w:r>
            <w:r w:rsidR="00035738" w:rsidRPr="00D2305D">
              <w:rPr>
                <w:rFonts w:ascii="Montserrat" w:hAnsi="Montserrat"/>
                <w:b/>
                <w:color w:val="FFFFFF"/>
                <w:sz w:val="16"/>
                <w:szCs w:val="16"/>
              </w:rPr>
              <w:t>20</w:t>
            </w:r>
            <w:r w:rsidR="00A90ED4">
              <w:rPr>
                <w:rFonts w:ascii="Montserrat" w:hAnsi="Montserrat"/>
                <w:b/>
                <w:color w:val="FFFFFF"/>
                <w:sz w:val="16"/>
                <w:szCs w:val="16"/>
              </w:rPr>
              <w:t>22</w:t>
            </w:r>
          </w:p>
        </w:tc>
        <w:tc>
          <w:tcPr>
            <w:tcW w:w="0" w:type="auto"/>
            <w:gridSpan w:val="2"/>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4B9B803" w14:textId="77777777" w:rsidR="00035738" w:rsidRPr="00D2305D" w:rsidRDefault="00A90ED4" w:rsidP="00A90ED4">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Diciembre </w:t>
            </w:r>
            <w:r w:rsidR="00035738" w:rsidRPr="00D2305D">
              <w:rPr>
                <w:rFonts w:ascii="Montserrat" w:hAnsi="Montserrat"/>
                <w:b/>
                <w:color w:val="FFFFFF"/>
                <w:sz w:val="16"/>
                <w:szCs w:val="16"/>
              </w:rPr>
              <w:t>20</w:t>
            </w:r>
            <w:r w:rsidR="00035738">
              <w:rPr>
                <w:rFonts w:ascii="Montserrat" w:hAnsi="Montserrat"/>
                <w:b/>
                <w:color w:val="FFFFFF"/>
                <w:sz w:val="16"/>
                <w:szCs w:val="16"/>
              </w:rPr>
              <w:t>2</w:t>
            </w:r>
            <w:r>
              <w:rPr>
                <w:rFonts w:ascii="Montserrat" w:hAnsi="Montserrat"/>
                <w:b/>
                <w:color w:val="FFFFFF"/>
                <w:sz w:val="16"/>
                <w:szCs w:val="16"/>
              </w:rPr>
              <w:t>1</w:t>
            </w:r>
          </w:p>
        </w:tc>
      </w:tr>
      <w:tr w:rsidR="00A90ED4" w:rsidRPr="00D2305D" w14:paraId="6EC0C08D" w14:textId="77777777" w:rsidTr="00A90ED4">
        <w:trPr>
          <w:trHeight w:val="109"/>
        </w:trPr>
        <w:tc>
          <w:tcPr>
            <w:tcW w:w="0" w:type="auto"/>
            <w:tcBorders>
              <w:top w:val="double" w:sz="12" w:space="0" w:color="808080"/>
              <w:left w:val="nil"/>
              <w:bottom w:val="nil"/>
              <w:right w:val="nil"/>
            </w:tcBorders>
            <w:shd w:val="clear" w:color="auto" w:fill="F2F2F2"/>
            <w:vAlign w:val="center"/>
            <w:hideMark/>
          </w:tcPr>
          <w:p w14:paraId="22BFF298" w14:textId="77777777" w:rsidR="00A90ED4" w:rsidRPr="00D2305D" w:rsidRDefault="00A90ED4" w:rsidP="00A90ED4">
            <w:pPr>
              <w:spacing w:after="0" w:line="240" w:lineRule="auto"/>
              <w:rPr>
                <w:rFonts w:ascii="Montserrat" w:eastAsia="Times New Roman" w:hAnsi="Montserrat"/>
                <w:color w:val="000000"/>
                <w:sz w:val="15"/>
                <w:szCs w:val="15"/>
                <w:lang w:eastAsia="es-MX"/>
              </w:rPr>
            </w:pPr>
            <w:r w:rsidRPr="00D2305D">
              <w:rPr>
                <w:rFonts w:ascii="Montserrat" w:eastAsia="Times New Roman" w:hAnsi="Montserrat"/>
                <w:color w:val="000000"/>
                <w:sz w:val="15"/>
                <w:szCs w:val="15"/>
                <w:lang w:eastAsia="es-MX"/>
              </w:rPr>
              <w:t xml:space="preserve">Activos en moneda extranjera </w:t>
            </w:r>
          </w:p>
        </w:tc>
        <w:tc>
          <w:tcPr>
            <w:tcW w:w="0" w:type="auto"/>
            <w:tcBorders>
              <w:top w:val="double" w:sz="12" w:space="0" w:color="808080"/>
              <w:left w:val="nil"/>
              <w:bottom w:val="nil"/>
              <w:right w:val="nil"/>
            </w:tcBorders>
            <w:shd w:val="clear" w:color="auto" w:fill="F2F2F2"/>
            <w:vAlign w:val="center"/>
            <w:hideMark/>
          </w:tcPr>
          <w:p w14:paraId="38CA65D2" w14:textId="77777777" w:rsidR="00A90ED4" w:rsidRPr="00D2305D" w:rsidRDefault="00A90ED4" w:rsidP="00A90ED4">
            <w:pPr>
              <w:spacing w:after="0" w:line="240" w:lineRule="auto"/>
              <w:rPr>
                <w:sz w:val="20"/>
                <w:szCs w:val="20"/>
                <w:lang w:val="es-MX" w:eastAsia="es-MX"/>
              </w:rPr>
            </w:pPr>
          </w:p>
        </w:tc>
        <w:tc>
          <w:tcPr>
            <w:tcW w:w="0" w:type="auto"/>
            <w:tcBorders>
              <w:top w:val="double" w:sz="12" w:space="0" w:color="808080"/>
              <w:left w:val="nil"/>
              <w:bottom w:val="nil"/>
              <w:right w:val="nil"/>
            </w:tcBorders>
            <w:shd w:val="clear" w:color="auto" w:fill="F2F2F2"/>
            <w:vAlign w:val="center"/>
            <w:hideMark/>
          </w:tcPr>
          <w:p w14:paraId="47B0F065" w14:textId="77777777" w:rsidR="00A90ED4" w:rsidRPr="00D2305D" w:rsidRDefault="000E6E18" w:rsidP="00A90ED4">
            <w:pPr>
              <w:spacing w:after="0" w:line="240" w:lineRule="auto"/>
              <w:jc w:val="right"/>
              <w:rPr>
                <w:rFonts w:ascii="Montserrat" w:eastAsia="Times New Roman" w:hAnsi="Montserrat"/>
                <w:color w:val="000000"/>
                <w:sz w:val="15"/>
                <w:szCs w:val="15"/>
                <w:lang w:eastAsia="es-MX"/>
              </w:rPr>
            </w:pPr>
            <w:r w:rsidRPr="000E6E18">
              <w:rPr>
                <w:rFonts w:ascii="Montserrat" w:eastAsia="Times New Roman" w:hAnsi="Montserrat"/>
                <w:color w:val="000000"/>
                <w:sz w:val="15"/>
                <w:szCs w:val="15"/>
                <w:lang w:eastAsia="es-MX"/>
              </w:rPr>
              <w:t>13,344,246.9</w:t>
            </w:r>
            <w:r>
              <w:rPr>
                <w:rFonts w:ascii="Montserrat" w:eastAsia="Times New Roman" w:hAnsi="Montserrat"/>
                <w:color w:val="000000"/>
                <w:sz w:val="15"/>
                <w:szCs w:val="15"/>
                <w:lang w:eastAsia="es-MX"/>
              </w:rPr>
              <w:t xml:space="preserve"> </w:t>
            </w:r>
            <w:r w:rsidR="00A90ED4" w:rsidRPr="00D2305D">
              <w:rPr>
                <w:rFonts w:ascii="Montserrat" w:eastAsia="Times New Roman" w:hAnsi="Montserrat"/>
                <w:color w:val="000000"/>
                <w:sz w:val="15"/>
                <w:szCs w:val="15"/>
                <w:lang w:eastAsia="es-MX"/>
              </w:rPr>
              <w:t>USD</w:t>
            </w:r>
          </w:p>
        </w:tc>
        <w:tc>
          <w:tcPr>
            <w:tcW w:w="0" w:type="auto"/>
            <w:tcBorders>
              <w:top w:val="double" w:sz="12" w:space="0" w:color="808080"/>
              <w:left w:val="nil"/>
              <w:bottom w:val="nil"/>
              <w:right w:val="nil"/>
            </w:tcBorders>
            <w:shd w:val="clear" w:color="auto" w:fill="F2F2F2"/>
            <w:vAlign w:val="center"/>
            <w:hideMark/>
          </w:tcPr>
          <w:p w14:paraId="6A033AFD" w14:textId="77777777" w:rsidR="00A90ED4" w:rsidRPr="00D2305D" w:rsidRDefault="00A90ED4" w:rsidP="00A90ED4">
            <w:pPr>
              <w:spacing w:after="0" w:line="240" w:lineRule="auto"/>
              <w:rPr>
                <w:sz w:val="20"/>
                <w:szCs w:val="20"/>
                <w:lang w:val="es-MX" w:eastAsia="es-MX"/>
              </w:rPr>
            </w:pPr>
          </w:p>
        </w:tc>
        <w:tc>
          <w:tcPr>
            <w:tcW w:w="0" w:type="auto"/>
            <w:tcBorders>
              <w:top w:val="double" w:sz="12" w:space="0" w:color="808080"/>
              <w:left w:val="nil"/>
              <w:bottom w:val="nil"/>
              <w:right w:val="nil"/>
            </w:tcBorders>
            <w:shd w:val="clear" w:color="auto" w:fill="F2F2F2"/>
            <w:vAlign w:val="center"/>
            <w:hideMark/>
          </w:tcPr>
          <w:p w14:paraId="18FAF61F" w14:textId="77777777" w:rsidR="00A90ED4" w:rsidRPr="00D2305D" w:rsidRDefault="00A90ED4" w:rsidP="00A90ED4">
            <w:pPr>
              <w:spacing w:after="0" w:line="240" w:lineRule="auto"/>
              <w:jc w:val="right"/>
              <w:rPr>
                <w:rFonts w:ascii="Montserrat" w:eastAsia="Times New Roman" w:hAnsi="Montserrat"/>
                <w:color w:val="000000"/>
                <w:sz w:val="15"/>
                <w:szCs w:val="15"/>
                <w:lang w:eastAsia="es-MX"/>
              </w:rPr>
            </w:pPr>
            <w:r w:rsidRPr="00257AAE">
              <w:rPr>
                <w:rFonts w:ascii="Montserrat" w:eastAsia="Times New Roman" w:hAnsi="Montserrat"/>
                <w:color w:val="000000"/>
                <w:sz w:val="15"/>
                <w:szCs w:val="15"/>
                <w:lang w:eastAsia="es-MX"/>
              </w:rPr>
              <w:t>2,187,700</w:t>
            </w:r>
            <w:r>
              <w:rPr>
                <w:rFonts w:ascii="Montserrat" w:eastAsia="Times New Roman" w:hAnsi="Montserrat"/>
                <w:color w:val="000000"/>
                <w:sz w:val="15"/>
                <w:szCs w:val="15"/>
                <w:lang w:eastAsia="es-MX"/>
              </w:rPr>
              <w:t xml:space="preserve">.0 </w:t>
            </w:r>
            <w:r w:rsidRPr="00D2305D">
              <w:rPr>
                <w:rFonts w:ascii="Montserrat" w:eastAsia="Times New Roman" w:hAnsi="Montserrat"/>
                <w:color w:val="000000"/>
                <w:sz w:val="15"/>
                <w:szCs w:val="15"/>
                <w:lang w:eastAsia="es-MX"/>
              </w:rPr>
              <w:t>USD</w:t>
            </w:r>
          </w:p>
        </w:tc>
      </w:tr>
      <w:tr w:rsidR="00A90ED4" w:rsidRPr="00D2305D" w14:paraId="22DAEC83" w14:textId="77777777" w:rsidTr="00A90ED4">
        <w:trPr>
          <w:trHeight w:val="142"/>
        </w:trPr>
        <w:tc>
          <w:tcPr>
            <w:tcW w:w="0" w:type="auto"/>
            <w:tcBorders>
              <w:top w:val="nil"/>
              <w:left w:val="nil"/>
              <w:bottom w:val="nil"/>
              <w:right w:val="nil"/>
            </w:tcBorders>
            <w:shd w:val="clear" w:color="auto" w:fill="F2F2F2"/>
            <w:vAlign w:val="center"/>
            <w:hideMark/>
          </w:tcPr>
          <w:p w14:paraId="73A7D163" w14:textId="77777777" w:rsidR="00A90ED4" w:rsidRPr="00D2305D" w:rsidRDefault="00A90ED4" w:rsidP="00A90ED4">
            <w:pPr>
              <w:spacing w:after="0" w:line="240" w:lineRule="auto"/>
              <w:rPr>
                <w:rFonts w:ascii="Montserrat" w:eastAsia="Times New Roman" w:hAnsi="Montserrat"/>
                <w:color w:val="000000"/>
                <w:sz w:val="15"/>
                <w:szCs w:val="15"/>
                <w:lang w:eastAsia="es-MX"/>
              </w:rPr>
            </w:pPr>
            <w:r w:rsidRPr="00D2305D">
              <w:rPr>
                <w:rFonts w:ascii="Montserrat" w:eastAsia="Times New Roman" w:hAnsi="Montserrat"/>
                <w:color w:val="000000"/>
                <w:sz w:val="15"/>
                <w:szCs w:val="15"/>
                <w:lang w:eastAsia="es-MX"/>
              </w:rPr>
              <w:t xml:space="preserve">Pasivos en moneda extranjera </w:t>
            </w:r>
          </w:p>
        </w:tc>
        <w:tc>
          <w:tcPr>
            <w:tcW w:w="0" w:type="auto"/>
            <w:tcBorders>
              <w:top w:val="nil"/>
              <w:left w:val="nil"/>
              <w:bottom w:val="nil"/>
              <w:right w:val="nil"/>
            </w:tcBorders>
            <w:shd w:val="clear" w:color="auto" w:fill="F2F2F2"/>
            <w:vAlign w:val="center"/>
          </w:tcPr>
          <w:p w14:paraId="0818C006"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center"/>
            <w:hideMark/>
          </w:tcPr>
          <w:p w14:paraId="388B5FCD" w14:textId="77777777" w:rsidR="00A90ED4" w:rsidRPr="000E6E18" w:rsidRDefault="00263459" w:rsidP="00A90ED4">
            <w:pPr>
              <w:spacing w:after="0" w:line="240" w:lineRule="auto"/>
              <w:jc w:val="right"/>
              <w:rPr>
                <w:rFonts w:ascii="Montserrat" w:eastAsia="Times New Roman" w:hAnsi="Montserrat"/>
                <w:color w:val="000000"/>
                <w:sz w:val="15"/>
                <w:szCs w:val="15"/>
                <w:highlight w:val="yellow"/>
                <w:lang w:eastAsia="es-MX"/>
              </w:rPr>
            </w:pPr>
            <w:r w:rsidRPr="00263459">
              <w:rPr>
                <w:rFonts w:ascii="Montserrat" w:eastAsia="Times New Roman" w:hAnsi="Montserrat"/>
                <w:color w:val="000000"/>
                <w:sz w:val="15"/>
                <w:szCs w:val="15"/>
                <w:lang w:eastAsia="es-MX"/>
              </w:rPr>
              <w:t>63</w:t>
            </w:r>
            <w:r w:rsidR="00E637FB" w:rsidRPr="00263459">
              <w:rPr>
                <w:rFonts w:ascii="Montserrat" w:eastAsia="Times New Roman" w:hAnsi="Montserrat"/>
                <w:color w:val="000000"/>
                <w:sz w:val="15"/>
                <w:szCs w:val="15"/>
                <w:lang w:eastAsia="es-MX"/>
              </w:rPr>
              <w:t>,</w:t>
            </w:r>
            <w:r w:rsidRPr="00263459">
              <w:rPr>
                <w:rFonts w:ascii="Montserrat" w:eastAsia="Times New Roman" w:hAnsi="Montserrat"/>
                <w:color w:val="000000"/>
                <w:sz w:val="15"/>
                <w:szCs w:val="15"/>
                <w:lang w:eastAsia="es-MX"/>
              </w:rPr>
              <w:t>541</w:t>
            </w:r>
            <w:r w:rsidR="00E637FB" w:rsidRPr="00263459">
              <w:rPr>
                <w:rFonts w:ascii="Montserrat" w:eastAsia="Times New Roman" w:hAnsi="Montserrat"/>
                <w:color w:val="000000"/>
                <w:sz w:val="15"/>
                <w:szCs w:val="15"/>
                <w:lang w:eastAsia="es-MX"/>
              </w:rPr>
              <w:t>.</w:t>
            </w:r>
            <w:r w:rsidRPr="00263459">
              <w:rPr>
                <w:rFonts w:ascii="Montserrat" w:eastAsia="Times New Roman" w:hAnsi="Montserrat"/>
                <w:color w:val="000000"/>
                <w:sz w:val="15"/>
                <w:szCs w:val="15"/>
                <w:lang w:eastAsia="es-MX"/>
              </w:rPr>
              <w:t xml:space="preserve">5 </w:t>
            </w:r>
            <w:r w:rsidR="00A90ED4" w:rsidRPr="00263459">
              <w:rPr>
                <w:rFonts w:ascii="Montserrat" w:eastAsia="Times New Roman" w:hAnsi="Montserrat"/>
                <w:color w:val="000000"/>
                <w:sz w:val="15"/>
                <w:szCs w:val="15"/>
                <w:lang w:eastAsia="es-MX"/>
              </w:rPr>
              <w:t>USD</w:t>
            </w:r>
          </w:p>
        </w:tc>
        <w:tc>
          <w:tcPr>
            <w:tcW w:w="0" w:type="auto"/>
            <w:tcBorders>
              <w:top w:val="nil"/>
              <w:left w:val="nil"/>
              <w:bottom w:val="nil"/>
              <w:right w:val="nil"/>
            </w:tcBorders>
            <w:shd w:val="clear" w:color="auto" w:fill="F2F2F2"/>
            <w:vAlign w:val="center"/>
          </w:tcPr>
          <w:p w14:paraId="55E70919" w14:textId="77777777" w:rsidR="00A90ED4" w:rsidRPr="000E6E18" w:rsidRDefault="00A90ED4" w:rsidP="00A90ED4">
            <w:pPr>
              <w:spacing w:after="0" w:line="240" w:lineRule="exact"/>
              <w:jc w:val="right"/>
              <w:rPr>
                <w:rFonts w:ascii="Montserrat" w:hAnsi="Montserrat"/>
                <w:sz w:val="15"/>
                <w:szCs w:val="15"/>
                <w:highlight w:val="yellow"/>
              </w:rPr>
            </w:pPr>
          </w:p>
        </w:tc>
        <w:tc>
          <w:tcPr>
            <w:tcW w:w="0" w:type="auto"/>
            <w:tcBorders>
              <w:top w:val="nil"/>
              <w:left w:val="nil"/>
              <w:bottom w:val="nil"/>
              <w:right w:val="nil"/>
            </w:tcBorders>
            <w:shd w:val="clear" w:color="auto" w:fill="F2F2F2"/>
            <w:vAlign w:val="center"/>
            <w:hideMark/>
          </w:tcPr>
          <w:p w14:paraId="1B54E4D1" w14:textId="77777777" w:rsidR="00A90ED4" w:rsidRPr="00D2305D" w:rsidRDefault="00A90ED4" w:rsidP="00A90ED4">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1,239,955.9</w:t>
            </w:r>
            <w:r w:rsidRPr="005246F4">
              <w:rPr>
                <w:rFonts w:ascii="Montserrat" w:eastAsia="Times New Roman" w:hAnsi="Montserrat"/>
                <w:color w:val="000000"/>
                <w:sz w:val="15"/>
                <w:szCs w:val="15"/>
                <w:lang w:eastAsia="es-MX"/>
              </w:rPr>
              <w:t xml:space="preserve"> USD</w:t>
            </w:r>
          </w:p>
        </w:tc>
      </w:tr>
      <w:tr w:rsidR="00A90ED4" w:rsidRPr="00D2305D" w14:paraId="04045AB2" w14:textId="77777777" w:rsidTr="00A90ED4">
        <w:trPr>
          <w:trHeight w:val="59"/>
        </w:trPr>
        <w:tc>
          <w:tcPr>
            <w:tcW w:w="0" w:type="auto"/>
            <w:tcBorders>
              <w:top w:val="nil"/>
              <w:left w:val="nil"/>
              <w:bottom w:val="single" w:sz="12" w:space="0" w:color="808080"/>
              <w:right w:val="nil"/>
            </w:tcBorders>
            <w:shd w:val="clear" w:color="auto" w:fill="F2F2F2"/>
            <w:vAlign w:val="center"/>
            <w:hideMark/>
          </w:tcPr>
          <w:p w14:paraId="43B0151D" w14:textId="77777777" w:rsidR="00A90ED4" w:rsidRPr="00D2305D" w:rsidRDefault="00A90ED4" w:rsidP="00A90ED4">
            <w:pPr>
              <w:spacing w:after="0" w:line="240" w:lineRule="auto"/>
              <w:rPr>
                <w:rFonts w:ascii="Montserrat" w:eastAsia="Times New Roman" w:hAnsi="Montserrat"/>
                <w:b/>
                <w:bCs/>
                <w:color w:val="000000"/>
                <w:sz w:val="15"/>
                <w:szCs w:val="15"/>
                <w:lang w:eastAsia="es-MX"/>
              </w:rPr>
            </w:pPr>
            <w:r w:rsidRPr="00D2305D">
              <w:rPr>
                <w:rFonts w:ascii="Montserrat" w:eastAsia="Times New Roman" w:hAnsi="Montserrat"/>
                <w:b/>
                <w:bCs/>
                <w:color w:val="000000"/>
                <w:sz w:val="15"/>
                <w:szCs w:val="15"/>
                <w:lang w:eastAsia="es-MX"/>
              </w:rPr>
              <w:t xml:space="preserve">Posición en moneda extranjera </w:t>
            </w:r>
          </w:p>
        </w:tc>
        <w:tc>
          <w:tcPr>
            <w:tcW w:w="0" w:type="auto"/>
            <w:tcBorders>
              <w:top w:val="nil"/>
              <w:left w:val="nil"/>
              <w:bottom w:val="single" w:sz="12" w:space="0" w:color="808080"/>
              <w:right w:val="nil"/>
            </w:tcBorders>
            <w:shd w:val="clear" w:color="auto" w:fill="F2F2F2"/>
            <w:vAlign w:val="center"/>
          </w:tcPr>
          <w:p w14:paraId="5526C3DD"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vAlign w:val="center"/>
            <w:hideMark/>
          </w:tcPr>
          <w:p w14:paraId="4B34D651" w14:textId="77777777" w:rsidR="00A90ED4" w:rsidRPr="00F81121" w:rsidRDefault="00F81121" w:rsidP="00F81121">
            <w:pPr>
              <w:spacing w:after="0" w:line="240" w:lineRule="auto"/>
              <w:jc w:val="right"/>
              <w:rPr>
                <w:rFonts w:ascii="Montserrat" w:hAnsi="Montserrat" w:cs="Calibri"/>
                <w:b/>
                <w:bCs/>
                <w:color w:val="000000"/>
                <w:sz w:val="15"/>
                <w:szCs w:val="15"/>
                <w:lang w:val="es-MX" w:eastAsia="es-MX"/>
              </w:rPr>
            </w:pPr>
            <w:r>
              <w:rPr>
                <w:rFonts w:ascii="Montserrat" w:hAnsi="Montserrat" w:cs="Calibri"/>
                <w:b/>
                <w:bCs/>
                <w:color w:val="000000"/>
                <w:sz w:val="15"/>
                <w:szCs w:val="15"/>
              </w:rPr>
              <w:t xml:space="preserve">13,407,788.4 </w:t>
            </w:r>
            <w:r w:rsidR="00A90ED4" w:rsidRPr="00E637FB">
              <w:rPr>
                <w:rFonts w:ascii="Montserrat" w:eastAsia="Times New Roman" w:hAnsi="Montserrat"/>
                <w:b/>
                <w:bCs/>
                <w:color w:val="000000"/>
                <w:sz w:val="15"/>
                <w:szCs w:val="15"/>
                <w:lang w:eastAsia="es-MX"/>
              </w:rPr>
              <w:t>USD</w:t>
            </w:r>
          </w:p>
        </w:tc>
        <w:tc>
          <w:tcPr>
            <w:tcW w:w="0" w:type="auto"/>
            <w:tcBorders>
              <w:top w:val="nil"/>
              <w:left w:val="nil"/>
              <w:bottom w:val="single" w:sz="12" w:space="0" w:color="808080"/>
              <w:right w:val="nil"/>
            </w:tcBorders>
            <w:shd w:val="clear" w:color="auto" w:fill="F2F2F2"/>
            <w:vAlign w:val="center"/>
          </w:tcPr>
          <w:p w14:paraId="450EC3E2"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vAlign w:val="center"/>
            <w:hideMark/>
          </w:tcPr>
          <w:p w14:paraId="627D8280" w14:textId="77777777" w:rsidR="00A90ED4" w:rsidRPr="00D2305D" w:rsidRDefault="00A90ED4" w:rsidP="00A90ED4">
            <w:pPr>
              <w:spacing w:after="0" w:line="240" w:lineRule="exact"/>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947,744.1</w:t>
            </w:r>
            <w:r w:rsidRPr="00D2305D">
              <w:rPr>
                <w:rFonts w:ascii="Montserrat" w:eastAsia="Times New Roman" w:hAnsi="Montserrat"/>
                <w:b/>
                <w:bCs/>
                <w:color w:val="000000"/>
                <w:sz w:val="15"/>
                <w:szCs w:val="15"/>
                <w:lang w:eastAsia="es-MX"/>
              </w:rPr>
              <w:t xml:space="preserve"> USD</w:t>
            </w:r>
          </w:p>
        </w:tc>
      </w:tr>
    </w:tbl>
    <w:p w14:paraId="36180B3F" w14:textId="77777777" w:rsidR="00035738" w:rsidRDefault="00035738" w:rsidP="00035738">
      <w:pPr>
        <w:autoSpaceDE w:val="0"/>
        <w:autoSpaceDN w:val="0"/>
        <w:adjustRightInd w:val="0"/>
        <w:spacing w:line="240" w:lineRule="auto"/>
        <w:jc w:val="both"/>
      </w:pPr>
    </w:p>
    <w:p w14:paraId="53744CA6" w14:textId="77777777" w:rsidR="00035738" w:rsidRDefault="00035738" w:rsidP="00035738">
      <w:pPr>
        <w:autoSpaceDE w:val="0"/>
        <w:autoSpaceDN w:val="0"/>
        <w:adjustRightInd w:val="0"/>
        <w:spacing w:line="240" w:lineRule="auto"/>
        <w:jc w:val="both"/>
      </w:pPr>
    </w:p>
    <w:p w14:paraId="2FAD5133" w14:textId="77777777" w:rsidR="00BE7D72" w:rsidRDefault="00BE7D72" w:rsidP="009D5C48">
      <w:pPr>
        <w:jc w:val="both"/>
        <w:rPr>
          <w:rFonts w:ascii="Montserrat" w:hAnsi="Montserrat"/>
          <w:sz w:val="18"/>
          <w:szCs w:val="18"/>
        </w:rPr>
      </w:pPr>
    </w:p>
    <w:p w14:paraId="2710E3A7" w14:textId="77777777" w:rsidR="00F64804" w:rsidRDefault="00F64804" w:rsidP="00CA076D">
      <w:pPr>
        <w:pStyle w:val="TEXTONORMAL"/>
        <w:rPr>
          <w:highlight w:val="yellow"/>
          <w:lang w:val="es-MX"/>
        </w:rPr>
      </w:pPr>
    </w:p>
    <w:p w14:paraId="4DFA3424" w14:textId="77777777" w:rsidR="009D5C48" w:rsidRPr="00CC46EE" w:rsidRDefault="009D5C48" w:rsidP="003F2A12">
      <w:pPr>
        <w:pStyle w:val="VIETAFLECHA"/>
        <w:numPr>
          <w:ilvl w:val="0"/>
          <w:numId w:val="82"/>
        </w:numPr>
        <w:ind w:left="357" w:hanging="357"/>
      </w:pPr>
      <w:r w:rsidRPr="00CC46EE">
        <w:t xml:space="preserve">Nuevos Pronunciamientos Contables </w:t>
      </w:r>
    </w:p>
    <w:p w14:paraId="12AF24F1" w14:textId="77777777" w:rsidR="009D5C48" w:rsidRDefault="009D5C48" w:rsidP="009D5C48">
      <w:pPr>
        <w:pStyle w:val="TEXTONORMAL"/>
      </w:pPr>
      <w:r>
        <w:t>El Consejo Mexicano de Normas de Información Financiera A.C. (CINIF) emitió una serie de mejoras a normas existentes con vigencia a partir del 1 de enero de 2020. Algunos de los principales cambios incluidos en estas normas son como sigue:</w:t>
      </w:r>
    </w:p>
    <w:p w14:paraId="6428FF8D" w14:textId="77777777" w:rsidR="009D5C48" w:rsidRPr="00E31CA5" w:rsidRDefault="009D5C48" w:rsidP="009D5C48">
      <w:pPr>
        <w:pStyle w:val="TEXTONORMAL"/>
        <w:rPr>
          <w:lang w:val="es-MX"/>
        </w:rPr>
      </w:pPr>
      <w:r w:rsidRPr="00050355">
        <w:rPr>
          <w:lang w:val="es-MX"/>
        </w:rPr>
        <w:t>Las que generan cambios contables</w:t>
      </w:r>
      <w:r>
        <w:rPr>
          <w:lang w:val="es-MX"/>
        </w:rPr>
        <w:t>.</w:t>
      </w:r>
    </w:p>
    <w:p w14:paraId="13E0A170" w14:textId="77777777" w:rsidR="009D5C48" w:rsidRDefault="009D5C48" w:rsidP="009D5C48">
      <w:pPr>
        <w:pStyle w:val="TEXTONORMAL"/>
      </w:pPr>
      <w:r>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14:paraId="2B9DF7AB" w14:textId="77777777" w:rsidR="009D5C48" w:rsidRPr="00E31CA5" w:rsidRDefault="009D5C48" w:rsidP="009D5C48">
      <w:pPr>
        <w:pStyle w:val="TEXTONORMAL"/>
        <w:rPr>
          <w:lang w:val="es-MX"/>
        </w:rPr>
      </w:pPr>
      <w:r w:rsidRPr="00050355">
        <w:rPr>
          <w:lang w:val="es-MX"/>
        </w:rPr>
        <w:t>Las que no generan cambios contables</w:t>
      </w:r>
      <w:r>
        <w:rPr>
          <w:lang w:val="es-MX"/>
        </w:rPr>
        <w:t>.</w:t>
      </w:r>
    </w:p>
    <w:p w14:paraId="66331484" w14:textId="77777777" w:rsidR="009D5C48" w:rsidRDefault="009D5C48" w:rsidP="009D5C48">
      <w:pPr>
        <w:pStyle w:val="TEXTONORMAL"/>
      </w:pPr>
      <w:r>
        <w:t xml:space="preserve">NIF A-6, “Reconocimiento y valuación” - Se precisan las definiciones de valor de realización y valor neto de realización, las cuales también se incluyen en el Glosario de las NIF. </w:t>
      </w:r>
    </w:p>
    <w:p w14:paraId="50A6EB09" w14:textId="77777777" w:rsidR="009D5C48" w:rsidRDefault="009D5C48" w:rsidP="009D5C48">
      <w:pPr>
        <w:pStyle w:val="TEXTONORMAL"/>
      </w:pPr>
      <w:r>
        <w:t xml:space="preserve">NIF B-6, “Estado de situación financiera” - Se modifica la definición de pasivo con base en los ajustes que se realizaron a este concepto en el año </w:t>
      </w:r>
      <w:r w:rsidRPr="005A1230">
        <w:t>20</w:t>
      </w:r>
      <w:r>
        <w:t xml:space="preserve">20 y que se incluyen en el Glosario de las NIF. </w:t>
      </w:r>
    </w:p>
    <w:p w14:paraId="2E93A55E" w14:textId="77777777" w:rsidR="009D5C48" w:rsidRDefault="009D5C48" w:rsidP="009D5C48">
      <w:pPr>
        <w:pStyle w:val="TEXTONORMAL"/>
      </w:pPr>
      <w:r>
        <w:t>NIF B-2, “Estados de flujos de efectivo”, NIF C-1, “Efectivo y equivalentes de efectivo”, - Se realizan ajustes de terminología relacionados con las nuevas NIF sobre instrumentos financieros.</w:t>
      </w:r>
    </w:p>
    <w:p w14:paraId="713BCC9B" w14:textId="77777777" w:rsidR="009D5C48" w:rsidRDefault="009D5C48" w:rsidP="009D5C48">
      <w:pPr>
        <w:pStyle w:val="TEXTONORMAL"/>
      </w:pPr>
      <w:r>
        <w:lastRenderedPageBreak/>
        <w:t>NIF C-6, “Propiedades, planta y equipo” – Con la entrada en vigor de la NIF B-17, “Determinación del valor razonable”, la NIF C-6 debe referir el cálculo del valor razonable a la NIF B-17 y no a la NIF A-6, “Reconocimiento y valuación”.</w:t>
      </w:r>
    </w:p>
    <w:p w14:paraId="1E253EC3" w14:textId="77777777" w:rsidR="009D5C48" w:rsidRDefault="009D5C48" w:rsidP="009D5C48">
      <w:pPr>
        <w:pStyle w:val="TEXTONORMAL"/>
      </w:pPr>
      <w:r>
        <w:t xml:space="preserve">NIF C-14, “Transferencia y baja de activos financieros” – Se realizan precisiones sobre la transferencia de riesgos y beneficios, esperando contribuyan a una mayor claridad. </w:t>
      </w:r>
    </w:p>
    <w:p w14:paraId="15E57A69" w14:textId="77777777" w:rsidR="009D5C48" w:rsidRDefault="009D5C48" w:rsidP="009D5C48">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14:paraId="1F95D122" w14:textId="77777777" w:rsidR="009D5C48" w:rsidRDefault="009D5C48" w:rsidP="009D5C48">
      <w:pPr>
        <w:pStyle w:val="TEXTONORMAL"/>
      </w:pPr>
      <w:r>
        <w:t xml:space="preserve"> NIF D-3, “Beneficios a los empleados” – Se realizaron precisiones sobre el reconocimiento de beneficios por traspasos de personal entre entidades. </w:t>
      </w:r>
    </w:p>
    <w:p w14:paraId="5184C7AA" w14:textId="77777777" w:rsidR="008B13D1" w:rsidRDefault="009D5C48" w:rsidP="009D5C48">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14:paraId="6DEC9514" w14:textId="77777777" w:rsidR="002641AB" w:rsidRDefault="002641AB" w:rsidP="009D5C48">
      <w:pPr>
        <w:pStyle w:val="TEXTONORMAL"/>
      </w:pPr>
    </w:p>
    <w:p w14:paraId="282015AE" w14:textId="77777777" w:rsidR="009D5C48" w:rsidRPr="00CC46EE" w:rsidRDefault="009D5C48" w:rsidP="003F2A12">
      <w:pPr>
        <w:pStyle w:val="TEXTONORMAL"/>
        <w:numPr>
          <w:ilvl w:val="0"/>
          <w:numId w:val="82"/>
        </w:numPr>
        <w:ind w:left="357" w:hanging="357"/>
      </w:pPr>
      <w:r w:rsidRPr="00CC46EE">
        <w:t xml:space="preserve">Mejoras a las NIF 2022 </w:t>
      </w:r>
    </w:p>
    <w:p w14:paraId="71EC7FF6" w14:textId="77777777" w:rsidR="009D5C48" w:rsidRPr="0090019C" w:rsidRDefault="009D5C48" w:rsidP="003F2A12">
      <w:pPr>
        <w:pStyle w:val="TEXTONORMAL"/>
        <w:numPr>
          <w:ilvl w:val="0"/>
          <w:numId w:val="18"/>
        </w:numPr>
        <w:ind w:left="998" w:hanging="284"/>
      </w:pPr>
      <w:r w:rsidRPr="0090019C">
        <w:t>Las que generan cambios contables</w:t>
      </w:r>
    </w:p>
    <w:p w14:paraId="18F5F2B6"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B-15, Conversión de monedas extranjeras – El CINIF consideró conveniente incorporar dentro de la NIF B-15 las explicaciones incluidas en la Interpretación a la Norma de Información Financiera (INIF) 15, Estados financieros cuya moneda de informe es igual a la de registro, pero diferente a la funcional, que habla sobre la solución práctica, en forma de una excepción, por la cual los estados financieros pueden emitirse en una moneda de informe que sea igual a la de registro, aun cuando ambas sean diferentes de la moneda funcional, sin llevar a cabo la conversión a la moneda funcional.</w:t>
      </w:r>
    </w:p>
    <w:p w14:paraId="2E6CEACA"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D-3, Beneficios a los empleados – La NIF D-3 establece que la PTU diferida debe determinarse aplicando el Método de activos y pasivos establecido en la NIF D 4, Impuestos a la utilidad, para el cálculo de los impuestos a la utilidad diferidos. Sin embargo, en abril de 2021, el Gobierno Federal modificó la forma de calcular al haber cambiado la determinación de la PTU, estableciendo un tope al monto asignable a cada empleado. Por lo tanto, la entidad puede encontrarse obligada a hacer ciertos ajustes en la determinación de la PTU diferida, particularmente en los casos en los que la entidad considere que el pago de la PTU será menor al 10% de la utilidad fiscal por estar este pago sujeto a los límites establecidos. En estos casos, la entidad debe hacer la mejor estimación posible del monto de PTU diferida con base en sus proyecciones financieras.</w:t>
      </w:r>
    </w:p>
    <w:p w14:paraId="2378037A"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NIF B-10, Efectos de la inflación; NIF B-17, Determinación del valor razonable; y NIF C-6, Propiedad, planta y equipo – Con el objetivo de maximizar la convergencia con las Normas Internacionales de Información Financiera (NIIF), se eliminó la obligatoriedad de cuatro revelaciones incluidas en las NIF mencionadas anteriormente.</w:t>
      </w:r>
    </w:p>
    <w:p w14:paraId="4E2A2CB8" w14:textId="77777777" w:rsidR="009D5C48" w:rsidRPr="0090019C" w:rsidRDefault="009D5C48" w:rsidP="003F2A12">
      <w:pPr>
        <w:pStyle w:val="TEXTONORMAL"/>
        <w:numPr>
          <w:ilvl w:val="0"/>
          <w:numId w:val="18"/>
        </w:numPr>
        <w:ind w:left="998" w:hanging="284"/>
      </w:pPr>
      <w:r w:rsidRPr="0090019C">
        <w:t>Las que no generan cambios contables</w:t>
      </w:r>
    </w:p>
    <w:p w14:paraId="43028109"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B-3, Estado de resultado integral; NIF B-10, Efectos de la inflación; y NIF B-15, Conversión de monedas extranjeras – Se hacen modificaciones a estas NIF para cubrir más ampliamente el tratamiento contable de las Unidades de Inversión (UDI). Con esto, se deroga la Circular 44, Tratamiento contable de las Unidades de Inversión (UDI), que se encontraba desactualizada.</w:t>
      </w:r>
    </w:p>
    <w:p w14:paraId="521D0937"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B-6, Estado de situación financiera – Como resultado de la emisión de nuevas NIF, han surgido nuevos rubros que deben adicionarse a las listas de activos y pasivos en la NIF B-6.</w:t>
      </w:r>
    </w:p>
    <w:p w14:paraId="3EF75FBE"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lastRenderedPageBreak/>
        <w:t>NIF C-3, Cuentas por cobrar; NIF C-16, Deterioro de instrumentos financieros por cobrar; y NIF   B-6, Estado de situación financiera – El CINIF consideró conveniente ajustar la redacción del alcance de la NIF C-3 para ser consistente con su objetivo, lo cual implica referirse al concepto general “cuentas por cobrar”, y no al concepto específico de “cuentas por cobrar comerciales”. Así, también se elimina la referencia a cuentas por cobrar comerciales en otras NIF.</w:t>
      </w:r>
    </w:p>
    <w:p w14:paraId="3320D0EB"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 Se eliminó duplicidad de texto en la NIF, con relación a la impracticabilidad de presentar cambios contables, correcciones de errores o reclasificaciones de manera retrospectiva.</w:t>
      </w:r>
    </w:p>
    <w:p w14:paraId="0CFB997F" w14:textId="77777777" w:rsidR="009D5C48"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B-17, Determinación del valor razonable – El CINIF consideró conveniente actualizar la lista de las NIF particulares donde se trata el valor razonable. Además, se incluyen los conceptos de riesgo de crédito e incumplimiento y su explicación, para permitir un mayor entendimiento de la determinación del valor razonable de cualquier tipo de pasivo financiero.</w:t>
      </w:r>
    </w:p>
    <w:p w14:paraId="2B3C539C" w14:textId="77777777" w:rsidR="00620DFB" w:rsidRPr="0090019C" w:rsidRDefault="00620DFB" w:rsidP="00F30EEC">
      <w:pPr>
        <w:spacing w:after="120" w:line="250" w:lineRule="exact"/>
        <w:ind w:left="709" w:hanging="709"/>
        <w:jc w:val="both"/>
        <w:rPr>
          <w:rFonts w:ascii="Montserrat" w:hAnsi="Montserrat"/>
          <w:sz w:val="18"/>
          <w:szCs w:val="18"/>
        </w:rPr>
      </w:pPr>
    </w:p>
    <w:p w14:paraId="44606389" w14:textId="77777777" w:rsidR="009D5C48" w:rsidRPr="00CC46EE" w:rsidRDefault="009D5C48" w:rsidP="003F2A12">
      <w:pPr>
        <w:pStyle w:val="VIETAFLECHA"/>
        <w:numPr>
          <w:ilvl w:val="0"/>
          <w:numId w:val="82"/>
        </w:numPr>
        <w:ind w:left="357" w:hanging="357"/>
      </w:pPr>
      <w:r w:rsidRPr="00CC46EE">
        <w:t>Aprobación de los Estados Financieros</w:t>
      </w:r>
    </w:p>
    <w:p w14:paraId="40D74CC5" w14:textId="77777777" w:rsidR="009D5C48" w:rsidRDefault="009D5C48" w:rsidP="002536DD">
      <w:pPr>
        <w:pStyle w:val="TEXTONORMAL"/>
      </w:pPr>
      <w:r>
        <w:t>Estas notas son parte integrante de los Estados Financieros adjuntos.</w:t>
      </w:r>
    </w:p>
    <w:p w14:paraId="1EA8FEC8" w14:textId="77777777" w:rsidR="0022510F" w:rsidRDefault="009D5C48" w:rsidP="009F61CA">
      <w:pPr>
        <w:pStyle w:val="TEXTONORMAL"/>
      </w:pPr>
      <w:r>
        <w:t>“Bajo protesta de decir verdad declaramos que los Estados Financieros y sus notas, son razonablemente correctos y son responsabilidad del emisor”</w:t>
      </w:r>
    </w:p>
    <w:p w14:paraId="5442F0A2" w14:textId="77777777" w:rsidR="00AD5ACF" w:rsidRDefault="00AD5ACF" w:rsidP="009F61CA">
      <w:pPr>
        <w:pStyle w:val="TEXTONORMAL"/>
      </w:pPr>
    </w:p>
    <w:p w14:paraId="2716569D" w14:textId="77777777" w:rsidR="0006285E" w:rsidRDefault="0006285E" w:rsidP="0006285E">
      <w:pPr>
        <w:pStyle w:val="TEXTONORMAL"/>
      </w:pPr>
    </w:p>
    <w:p w14:paraId="1F057DC2" w14:textId="77777777" w:rsidR="00092E7B" w:rsidRDefault="00092E7B" w:rsidP="0006285E">
      <w:pPr>
        <w:pStyle w:val="TEXTONORMAL"/>
      </w:pPr>
    </w:p>
    <w:p w14:paraId="30B64236" w14:textId="77777777" w:rsidR="006776EF" w:rsidRDefault="006776EF" w:rsidP="0006285E">
      <w:pPr>
        <w:pStyle w:val="TEXTONORMAL"/>
      </w:pPr>
    </w:p>
    <w:p w14:paraId="5B16D713" w14:textId="77777777" w:rsidR="00620DFB" w:rsidRDefault="00620DFB" w:rsidP="0006285E">
      <w:pPr>
        <w:pStyle w:val="TEXTONORMAL"/>
      </w:pPr>
    </w:p>
    <w:p w14:paraId="1645DC5B" w14:textId="77777777" w:rsidR="0006285E" w:rsidRDefault="0006285E" w:rsidP="007531F7">
      <w:pPr>
        <w:pStyle w:val="TEXTONORMAL"/>
        <w:ind w:left="708"/>
        <w:jc w:val="left"/>
      </w:pPr>
    </w:p>
    <w:p w14:paraId="11234A7B" w14:textId="77777777" w:rsidR="0006285E" w:rsidRDefault="008B6A99" w:rsidP="007531F7">
      <w:pPr>
        <w:pStyle w:val="TEXTONORMAL"/>
        <w:ind w:left="1416" w:firstLine="708"/>
        <w:jc w:val="left"/>
      </w:pPr>
      <w:r>
        <w:rPr>
          <w:noProof/>
          <w:lang w:val="es-MX" w:eastAsia="es-MX"/>
        </w:rPr>
        <mc:AlternateContent>
          <mc:Choice Requires="wps">
            <w:drawing>
              <wp:anchor distT="0" distB="0" distL="114300" distR="114300" simplePos="0" relativeHeight="251657216" behindDoc="0" locked="0" layoutInCell="1" allowOverlap="1" wp14:anchorId="585CC5C5" wp14:editId="7A1BECA8">
                <wp:simplePos x="0" y="0"/>
                <wp:positionH relativeFrom="column">
                  <wp:posOffset>1368425</wp:posOffset>
                </wp:positionH>
                <wp:positionV relativeFrom="paragraph">
                  <wp:posOffset>178435</wp:posOffset>
                </wp:positionV>
                <wp:extent cx="2476500" cy="774065"/>
                <wp:effectExtent l="1905" t="0"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DF645" w14:textId="77777777" w:rsidR="0043151F" w:rsidRPr="008B3878" w:rsidRDefault="0043151F" w:rsidP="005418AD">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14:paraId="134D80D2" w14:textId="77777777" w:rsidR="0043151F" w:rsidRPr="008B3878" w:rsidRDefault="0043151F"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CC5C5" id="_x0000_t202" coordsize="21600,21600" o:spt="202" path="m,l,21600r21600,l21600,xe">
                <v:stroke joinstyle="miter"/>
                <v:path gradientshapeok="t" o:connecttype="rect"/>
              </v:shapetype>
              <v:shape id="Cuadro de texto 2" o:spid="_x0000_s1026" type="#_x0000_t202" style="position:absolute;left:0;text-align:left;margin-left:107.75pt;margin-top:14.05pt;width:195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JX8wEAAMo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" stroked="f">
                <v:textbox>
                  <w:txbxContent>
                    <w:p w14:paraId="192DF645" w14:textId="77777777" w:rsidR="0043151F" w:rsidRPr="008B3878" w:rsidRDefault="0043151F" w:rsidP="005418AD">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14:paraId="134D80D2" w14:textId="77777777" w:rsidR="0043151F" w:rsidRPr="008B3878" w:rsidRDefault="0043151F"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1C52DDEC" wp14:editId="32186800">
                <wp:simplePos x="0" y="0"/>
                <wp:positionH relativeFrom="column">
                  <wp:posOffset>5377815</wp:posOffset>
                </wp:positionH>
                <wp:positionV relativeFrom="paragraph">
                  <wp:posOffset>211455</wp:posOffset>
                </wp:positionV>
                <wp:extent cx="2476500" cy="59563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14:paraId="6B9D4595" w14:textId="77777777" w:rsidR="0043151F" w:rsidRPr="008B3878" w:rsidRDefault="0043151F"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0B836004" w14:textId="77777777" w:rsidR="0043151F" w:rsidRPr="008B3878" w:rsidRDefault="0043151F"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2DDEC" id="_x0000_s1027" type="#_x0000_t202" style="position:absolute;left:0;text-align:left;margin-left:423.45pt;margin-top:16.65pt;width:195pt;height:46.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" stroked="f">
                <v:textbox style="mso-fit-shape-to-text:t">
                  <w:txbxContent>
                    <w:p w14:paraId="6B9D4595" w14:textId="77777777" w:rsidR="0043151F" w:rsidRPr="008B3878" w:rsidRDefault="0043151F"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0B836004" w14:textId="77777777" w:rsidR="0043151F" w:rsidRPr="008B3878" w:rsidRDefault="0043151F"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sidR="0006285E">
        <w:t>___________________________________________</w:t>
      </w:r>
      <w:r w:rsidR="0006285E">
        <w:tab/>
      </w:r>
      <w:r w:rsidR="0006285E">
        <w:tab/>
      </w:r>
      <w:r w:rsidR="0006285E">
        <w:tab/>
      </w:r>
      <w:r w:rsidR="0006285E">
        <w:tab/>
        <w:t>___________________________________________</w:t>
      </w:r>
    </w:p>
    <w:p w14:paraId="11ED05BC" w14:textId="77777777" w:rsidR="00AD5ACF" w:rsidRDefault="0006285E" w:rsidP="007531F7">
      <w:pPr>
        <w:pStyle w:val="TEXTONORMAL"/>
        <w:ind w:left="1416" w:firstLine="708"/>
      </w:pPr>
      <w:r>
        <w:tab/>
      </w:r>
      <w:r>
        <w:tab/>
      </w:r>
      <w:r>
        <w:tab/>
      </w:r>
      <w:r>
        <w:tab/>
      </w:r>
      <w:r>
        <w:tab/>
      </w:r>
      <w:r>
        <w:tab/>
      </w:r>
    </w:p>
    <w:p w14:paraId="4D01C7DA" w14:textId="77777777" w:rsidR="0022510F" w:rsidRDefault="0022510F" w:rsidP="009F61CA">
      <w:pPr>
        <w:pStyle w:val="TEXTONORMAL"/>
      </w:pPr>
    </w:p>
    <w:sectPr w:rsidR="0022510F" w:rsidSect="00120C31">
      <w:headerReference w:type="default" r:id="rId11"/>
      <w:footerReference w:type="default" r:id="rId12"/>
      <w:headerReference w:type="first" r:id="rId13"/>
      <w:footerReference w:type="first" r:id="rId14"/>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5D32" w14:textId="77777777" w:rsidR="00150F7F" w:rsidRDefault="00150F7F" w:rsidP="00140DD8">
      <w:pPr>
        <w:spacing w:after="0" w:line="240" w:lineRule="auto"/>
      </w:pPr>
      <w:r>
        <w:separator/>
      </w:r>
    </w:p>
  </w:endnote>
  <w:endnote w:type="continuationSeparator" w:id="0">
    <w:p w14:paraId="2AF27399" w14:textId="77777777" w:rsidR="00150F7F" w:rsidRDefault="00150F7F"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ansSerif">
    <w:altName w:val="Times New Roman"/>
    <w:panose1 w:val="00000000000000000000"/>
    <w:charset w:val="00"/>
    <w:family w:val="roman"/>
    <w:notTrueType/>
    <w:pitch w:val="default"/>
  </w:font>
  <w:font w:name="Univers (W1)">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oberana Titular">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43151F" w:rsidRPr="00654D98" w14:paraId="6371BE70" w14:textId="77777777" w:rsidTr="00760530">
      <w:trPr>
        <w:jc w:val="center"/>
      </w:trPr>
      <w:tc>
        <w:tcPr>
          <w:tcW w:w="2122" w:type="dxa"/>
          <w:tcBorders>
            <w:top w:val="nil"/>
            <w:bottom w:val="single" w:sz="12" w:space="0" w:color="D4C19C"/>
          </w:tcBorders>
          <w:shd w:val="clear" w:color="auto" w:fill="auto"/>
        </w:tcPr>
        <w:p w14:paraId="3F25AA38" w14:textId="77777777" w:rsidR="0043151F" w:rsidRPr="00654D98" w:rsidRDefault="0043151F"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22FFED3A" w14:textId="77777777" w:rsidR="0043151F" w:rsidRPr="00654D98" w:rsidRDefault="0043151F"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4F3C9D77" w14:textId="77777777" w:rsidR="0043151F" w:rsidRPr="00654D98" w:rsidRDefault="0043151F" w:rsidP="00566761">
          <w:pPr>
            <w:pStyle w:val="Encabezado"/>
            <w:spacing w:after="0" w:line="240" w:lineRule="auto"/>
            <w:jc w:val="right"/>
            <w:rPr>
              <w:rFonts w:ascii="Montserrat" w:hAnsi="Montserrat"/>
              <w:sz w:val="16"/>
              <w:szCs w:val="16"/>
            </w:rPr>
          </w:pPr>
        </w:p>
      </w:tc>
    </w:tr>
    <w:tr w:rsidR="0043151F" w:rsidRPr="00CB202B" w14:paraId="7FE255C1" w14:textId="77777777" w:rsidTr="00760530">
      <w:trPr>
        <w:jc w:val="center"/>
      </w:trPr>
      <w:tc>
        <w:tcPr>
          <w:tcW w:w="2122" w:type="dxa"/>
          <w:tcBorders>
            <w:top w:val="single" w:sz="12" w:space="0" w:color="D4C19C"/>
          </w:tcBorders>
          <w:shd w:val="clear" w:color="auto" w:fill="auto"/>
        </w:tcPr>
        <w:p w14:paraId="1DA3B138" w14:textId="77777777" w:rsidR="0043151F" w:rsidRPr="00CB202B" w:rsidRDefault="0043151F"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2BD285B7" w14:textId="77777777" w:rsidR="0043151F" w:rsidRPr="007C7497" w:rsidRDefault="0043151F"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14:paraId="46608530" w14:textId="77777777" w:rsidR="0043151F" w:rsidRPr="00102975" w:rsidRDefault="0043151F"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1C1942">
            <w:rPr>
              <w:rFonts w:ascii="Montserrat" w:hAnsi="Montserrat"/>
              <w:noProof/>
              <w:sz w:val="18"/>
              <w:szCs w:val="18"/>
            </w:rPr>
            <w:t>43</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1C1942">
            <w:rPr>
              <w:rFonts w:ascii="Montserrat" w:hAnsi="Montserrat"/>
              <w:noProof/>
              <w:sz w:val="18"/>
              <w:szCs w:val="18"/>
            </w:rPr>
            <w:t>67</w:t>
          </w:r>
          <w:r w:rsidRPr="00102975">
            <w:rPr>
              <w:rFonts w:ascii="Montserrat" w:hAnsi="Montserrat"/>
              <w:sz w:val="18"/>
              <w:szCs w:val="18"/>
            </w:rPr>
            <w:fldChar w:fldCharType="end"/>
          </w:r>
        </w:p>
      </w:tc>
    </w:tr>
  </w:tbl>
  <w:p w14:paraId="2900CCB8" w14:textId="77777777" w:rsidR="0043151F" w:rsidRPr="00CB202B" w:rsidRDefault="0043151F"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8080"/>
      </w:tblBorders>
      <w:tblLook w:val="04A0" w:firstRow="1" w:lastRow="0" w:firstColumn="1" w:lastColumn="0" w:noHBand="0" w:noVBand="1"/>
    </w:tblPr>
    <w:tblGrid>
      <w:gridCol w:w="13004"/>
    </w:tblGrid>
    <w:tr w:rsidR="0043151F" w14:paraId="478A7221" w14:textId="77777777" w:rsidTr="00E139E7">
      <w:trPr>
        <w:trHeight w:val="258"/>
        <w:jc w:val="center"/>
      </w:trPr>
      <w:tc>
        <w:tcPr>
          <w:tcW w:w="13137" w:type="dxa"/>
          <w:tcBorders>
            <w:top w:val="nil"/>
            <w:bottom w:val="single" w:sz="8" w:space="0" w:color="808080"/>
          </w:tcBorders>
          <w:shd w:val="clear" w:color="auto" w:fill="auto"/>
        </w:tcPr>
        <w:p w14:paraId="23BA9247" w14:textId="77777777" w:rsidR="0043151F" w:rsidRPr="00AC2541" w:rsidRDefault="0043151F" w:rsidP="00566761">
          <w:pPr>
            <w:pStyle w:val="Encabezado"/>
            <w:spacing w:after="0" w:line="240" w:lineRule="auto"/>
            <w:jc w:val="center"/>
            <w:rPr>
              <w:rFonts w:ascii="Soberana Sans" w:hAnsi="Soberana Sans"/>
              <w:sz w:val="16"/>
              <w:szCs w:val="16"/>
            </w:rPr>
          </w:pPr>
        </w:p>
      </w:tc>
    </w:tr>
    <w:tr w:rsidR="0043151F" w14:paraId="02A8EE74" w14:textId="77777777" w:rsidTr="00E139E7">
      <w:trPr>
        <w:trHeight w:val="258"/>
        <w:jc w:val="center"/>
      </w:trPr>
      <w:tc>
        <w:tcPr>
          <w:tcW w:w="13137" w:type="dxa"/>
          <w:tcBorders>
            <w:top w:val="single" w:sz="8" w:space="0" w:color="808080"/>
          </w:tcBorders>
          <w:shd w:val="clear" w:color="auto" w:fill="auto"/>
        </w:tcPr>
        <w:p w14:paraId="254928A4" w14:textId="77777777" w:rsidR="0043151F" w:rsidRPr="00477E89" w:rsidRDefault="0043151F"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90</w:t>
          </w:r>
          <w:r w:rsidRPr="00477E89">
            <w:rPr>
              <w:szCs w:val="16"/>
            </w:rPr>
            <w:fldChar w:fldCharType="end"/>
          </w:r>
        </w:p>
      </w:tc>
    </w:tr>
  </w:tbl>
  <w:p w14:paraId="25D08792" w14:textId="77777777" w:rsidR="0043151F" w:rsidRPr="00AD10AF" w:rsidRDefault="0043151F" w:rsidP="001F44BC">
    <w:pPr>
      <w:pStyle w:val="Piedepgin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F63" w14:textId="77777777" w:rsidR="00150F7F" w:rsidRDefault="00150F7F" w:rsidP="00140DD8">
      <w:pPr>
        <w:spacing w:after="0" w:line="240" w:lineRule="auto"/>
      </w:pPr>
      <w:r>
        <w:separator/>
      </w:r>
    </w:p>
  </w:footnote>
  <w:footnote w:type="continuationSeparator" w:id="0">
    <w:p w14:paraId="2122510D" w14:textId="77777777" w:rsidR="00150F7F" w:rsidRDefault="00150F7F" w:rsidP="00140DD8">
      <w:pPr>
        <w:spacing w:after="0" w:line="240" w:lineRule="auto"/>
      </w:pPr>
      <w:r>
        <w:continuationSeparator/>
      </w:r>
    </w:p>
  </w:footnote>
  <w:footnote w:id="1">
    <w:p w14:paraId="384E2F73" w14:textId="77777777" w:rsidR="0043151F" w:rsidRDefault="0043151F" w:rsidP="001F5B78">
      <w:pPr>
        <w:pStyle w:val="Textonotapie"/>
        <w:spacing w:after="0" w:line="240" w:lineRule="auto"/>
        <w:jc w:val="both"/>
        <w:rPr>
          <w:rFonts w:ascii="Montserrat" w:hAnsi="Montserrat"/>
          <w:color w:val="000000"/>
          <w:sz w:val="14"/>
          <w:szCs w:val="14"/>
        </w:rPr>
      </w:pPr>
      <w:r>
        <w:rPr>
          <w:rStyle w:val="Refdenotaalpie"/>
          <w:rFonts w:ascii="Montserrat" w:hAnsi="Montserrat"/>
          <w:sz w:val="14"/>
          <w:szCs w:val="14"/>
          <w:lang w:val="es-MX"/>
        </w:rPr>
        <w:t>1</w:t>
      </w:r>
      <w:r w:rsidRPr="001F5B78">
        <w:rPr>
          <w:rStyle w:val="Refdenotaalpie"/>
          <w:rFonts w:ascii="Montserrat" w:hAnsi="Montserrat"/>
          <w:sz w:val="14"/>
          <w:szCs w:val="14"/>
          <w:lang w:val="es-MX"/>
        </w:rPr>
        <w:t>/</w:t>
      </w:r>
      <w:r w:rsidRPr="001F5B78">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2A7F3282" w14:textId="77777777" w:rsidR="0043151F" w:rsidRPr="001F5B78" w:rsidRDefault="0043151F" w:rsidP="001F5B78">
      <w:pPr>
        <w:pStyle w:val="Textonotapie"/>
        <w:spacing w:after="0" w:line="240" w:lineRule="auto"/>
        <w:jc w:val="both"/>
        <w:rPr>
          <w:rFonts w:ascii="Montserrat" w:hAnsi="Montserrat"/>
          <w:sz w:val="14"/>
          <w:szCs w:val="14"/>
          <w:lang w:val="es-MX"/>
        </w:rPr>
      </w:pPr>
    </w:p>
  </w:footnote>
  <w:footnote w:id="2">
    <w:p w14:paraId="6CC175FF" w14:textId="77777777" w:rsidR="0043151F" w:rsidRPr="00C16E7C" w:rsidRDefault="0043151F" w:rsidP="00AD7587">
      <w:pPr>
        <w:pStyle w:val="Textocomentario"/>
        <w:spacing w:after="0"/>
        <w:jc w:val="both"/>
        <w:rPr>
          <w:rFonts w:ascii="Montserrat" w:hAnsi="Montserrat"/>
          <w:color w:val="000000"/>
          <w:sz w:val="18"/>
          <w:szCs w:val="18"/>
        </w:rPr>
      </w:pPr>
      <w:r w:rsidRPr="00AD7587">
        <w:rPr>
          <w:rStyle w:val="Refdenotaalpie"/>
          <w:rFonts w:ascii="Montserrat" w:hAnsi="Montserrat"/>
          <w:sz w:val="14"/>
          <w:szCs w:val="14"/>
          <w:lang w:val="es-MX"/>
        </w:rPr>
        <w:footnoteRef/>
      </w:r>
      <w:r w:rsidRPr="00AD7587">
        <w:rPr>
          <w:rStyle w:val="Refdenotaalpie"/>
          <w:rFonts w:ascii="Montserrat" w:hAnsi="Montserrat"/>
          <w:sz w:val="14"/>
          <w:szCs w:val="14"/>
          <w:lang w:val="es-MX"/>
        </w:rPr>
        <w:t>/</w:t>
      </w:r>
      <w:r w:rsidRPr="00AD7587">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54D8B07F" w14:textId="77777777" w:rsidR="0043151F" w:rsidRPr="00AD7587" w:rsidRDefault="0043151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tblBorders>
        <w:bottom w:val="single" w:sz="12" w:space="0" w:color="9D2449"/>
      </w:tblBorders>
      <w:tblLook w:val="04A0" w:firstRow="1" w:lastRow="0" w:firstColumn="1" w:lastColumn="0" w:noHBand="0" w:noVBand="1"/>
    </w:tblPr>
    <w:tblGrid>
      <w:gridCol w:w="13137"/>
    </w:tblGrid>
    <w:tr w:rsidR="0043151F" w:rsidRPr="004E66AE" w14:paraId="2849330A" w14:textId="77777777" w:rsidTr="00394863">
      <w:tc>
        <w:tcPr>
          <w:tcW w:w="13137" w:type="dxa"/>
          <w:tcBorders>
            <w:bottom w:val="nil"/>
          </w:tcBorders>
          <w:shd w:val="clear" w:color="auto" w:fill="auto"/>
          <w:vAlign w:val="bottom"/>
        </w:tcPr>
        <w:p w14:paraId="697428AC" w14:textId="77777777" w:rsidR="0043151F" w:rsidRPr="00476C78" w:rsidRDefault="0043151F" w:rsidP="00D4640D">
          <w:pPr>
            <w:pStyle w:val="Encabezado"/>
            <w:spacing w:after="60" w:line="240" w:lineRule="auto"/>
            <w:jc w:val="center"/>
            <w:rPr>
              <w:rFonts w:ascii="Montserrat SemiBold" w:hAnsi="Montserrat SemiBold"/>
              <w:color w:val="9D2449"/>
              <w:sz w:val="26"/>
              <w:szCs w:val="26"/>
            </w:rPr>
          </w:pPr>
        </w:p>
      </w:tc>
    </w:tr>
  </w:tbl>
  <w:p w14:paraId="1B37D755" w14:textId="77777777" w:rsidR="0043151F" w:rsidRPr="00180068" w:rsidRDefault="0043151F"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4CE6F308" wp14:editId="53066B46">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B2728D"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004"/>
    </w:tblGrid>
    <w:tr w:rsidR="0043151F" w14:paraId="4B6124FB" w14:textId="77777777" w:rsidTr="00E139E7">
      <w:tc>
        <w:tcPr>
          <w:tcW w:w="13137" w:type="dxa"/>
          <w:shd w:val="clear" w:color="auto" w:fill="auto"/>
        </w:tcPr>
        <w:p w14:paraId="71491F37" w14:textId="77777777" w:rsidR="0043151F" w:rsidRPr="00AC2541" w:rsidRDefault="0043151F" w:rsidP="00C066E3">
          <w:pPr>
            <w:pStyle w:val="Encabezado"/>
            <w:spacing w:after="0" w:line="240" w:lineRule="auto"/>
            <w:jc w:val="center"/>
            <w:rPr>
              <w:rFonts w:ascii="Soberana Titular" w:hAnsi="Soberana Titular"/>
              <w:b/>
            </w:rPr>
          </w:pPr>
        </w:p>
        <w:p w14:paraId="1D3F6E74" w14:textId="77777777" w:rsidR="0043151F" w:rsidRPr="00AC2541" w:rsidRDefault="0043151F" w:rsidP="00C066E3">
          <w:pPr>
            <w:pStyle w:val="Encabezado"/>
            <w:spacing w:after="0" w:line="240" w:lineRule="auto"/>
            <w:jc w:val="center"/>
            <w:rPr>
              <w:rFonts w:ascii="Soberana Titular" w:hAnsi="Soberana Titular"/>
              <w:b/>
            </w:rPr>
          </w:pPr>
        </w:p>
        <w:p w14:paraId="257D1A28" w14:textId="77777777" w:rsidR="0043151F" w:rsidRPr="00934114" w:rsidRDefault="0043151F"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14:paraId="68D490B7" w14:textId="77777777" w:rsidR="0043151F" w:rsidRPr="00180068" w:rsidRDefault="0043151F" w:rsidP="00180F7A">
    <w:pPr>
      <w:pStyle w:val="Encabezado"/>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81"/>
    <w:multiLevelType w:val="hybridMultilevel"/>
    <w:tmpl w:val="B678C1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862D0"/>
    <w:multiLevelType w:val="multilevel"/>
    <w:tmpl w:val="D30E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053A19"/>
    <w:multiLevelType w:val="hybridMultilevel"/>
    <w:tmpl w:val="2EC23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471422"/>
    <w:multiLevelType w:val="hybridMultilevel"/>
    <w:tmpl w:val="5EDA44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52EB8"/>
    <w:multiLevelType w:val="hybridMultilevel"/>
    <w:tmpl w:val="11EAB69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AD655F"/>
    <w:multiLevelType w:val="hybridMultilevel"/>
    <w:tmpl w:val="54EA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E96B2F"/>
    <w:multiLevelType w:val="hybridMultilevel"/>
    <w:tmpl w:val="7A0ED14E"/>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D4E88"/>
    <w:multiLevelType w:val="hybridMultilevel"/>
    <w:tmpl w:val="1A84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7A5EF8"/>
    <w:multiLevelType w:val="hybridMultilevel"/>
    <w:tmpl w:val="4AC24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3B6CD2"/>
    <w:multiLevelType w:val="hybridMultilevel"/>
    <w:tmpl w:val="2280E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A23810"/>
    <w:multiLevelType w:val="hybridMultilevel"/>
    <w:tmpl w:val="FDA41CF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944556"/>
    <w:multiLevelType w:val="hybridMultilevel"/>
    <w:tmpl w:val="6BFAB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DA3C60"/>
    <w:multiLevelType w:val="hybridMultilevel"/>
    <w:tmpl w:val="C0B80B4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FB0593"/>
    <w:multiLevelType w:val="multilevel"/>
    <w:tmpl w:val="17BAAC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7EB3708"/>
    <w:multiLevelType w:val="hybridMultilevel"/>
    <w:tmpl w:val="B61A8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697028"/>
    <w:multiLevelType w:val="hybridMultilevel"/>
    <w:tmpl w:val="E222B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C35F6E"/>
    <w:multiLevelType w:val="hybridMultilevel"/>
    <w:tmpl w:val="76E81F6A"/>
    <w:lvl w:ilvl="0" w:tplc="080A0009">
      <w:start w:val="1"/>
      <w:numFmt w:val="bullet"/>
      <w:lvlText w:val=""/>
      <w:lvlJc w:val="left"/>
      <w:pPr>
        <w:ind w:left="720" w:hanging="360"/>
      </w:pPr>
      <w:rPr>
        <w:rFonts w:ascii="Wingdings" w:hAnsi="Wingdings" w:hint="default"/>
      </w:rPr>
    </w:lvl>
    <w:lvl w:ilvl="1" w:tplc="080A0009">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456C38"/>
    <w:multiLevelType w:val="hybridMultilevel"/>
    <w:tmpl w:val="F90A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49271A"/>
    <w:multiLevelType w:val="multilevel"/>
    <w:tmpl w:val="AFFC07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17D7341"/>
    <w:multiLevelType w:val="hybridMultilevel"/>
    <w:tmpl w:val="397216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19A4034"/>
    <w:multiLevelType w:val="hybridMultilevel"/>
    <w:tmpl w:val="A3FA2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7717A1"/>
    <w:multiLevelType w:val="hybridMultilevel"/>
    <w:tmpl w:val="5BB23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172CA4"/>
    <w:multiLevelType w:val="hybridMultilevel"/>
    <w:tmpl w:val="78CCBA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177442"/>
    <w:multiLevelType w:val="multilevel"/>
    <w:tmpl w:val="8CBA2A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8EB79F7"/>
    <w:multiLevelType w:val="hybridMultilevel"/>
    <w:tmpl w:val="7A42D9C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15:restartNumberingAfterBreak="0">
    <w:nsid w:val="2A4F5C26"/>
    <w:multiLevelType w:val="hybridMultilevel"/>
    <w:tmpl w:val="EA7048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A7C1838"/>
    <w:multiLevelType w:val="multilevel"/>
    <w:tmpl w:val="9C92FA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ACE64DB"/>
    <w:multiLevelType w:val="multilevel"/>
    <w:tmpl w:val="E74E241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AEE27C0"/>
    <w:multiLevelType w:val="hybridMultilevel"/>
    <w:tmpl w:val="70D655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AF40579"/>
    <w:multiLevelType w:val="hybridMultilevel"/>
    <w:tmpl w:val="62F82C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B047205"/>
    <w:multiLevelType w:val="hybridMultilevel"/>
    <w:tmpl w:val="E2160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B8D6BA0"/>
    <w:multiLevelType w:val="hybridMultilevel"/>
    <w:tmpl w:val="37FE75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161275"/>
    <w:multiLevelType w:val="hybridMultilevel"/>
    <w:tmpl w:val="8C342C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0B007AE"/>
    <w:multiLevelType w:val="hybridMultilevel"/>
    <w:tmpl w:val="B04020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6CE2B3E"/>
    <w:multiLevelType w:val="hybridMultilevel"/>
    <w:tmpl w:val="9126E5C6"/>
    <w:lvl w:ilvl="0" w:tplc="080A000B">
      <w:start w:val="1"/>
      <w:numFmt w:val="bullet"/>
      <w:lvlText w:val=""/>
      <w:lvlJc w:val="left"/>
      <w:pPr>
        <w:ind w:left="907" w:hanging="360"/>
      </w:pPr>
      <w:rPr>
        <w:rFonts w:ascii="Wingdings" w:hAnsi="Wingdings" w:hint="default"/>
      </w:rPr>
    </w:lvl>
    <w:lvl w:ilvl="1" w:tplc="080A0003">
      <w:start w:val="1"/>
      <w:numFmt w:val="bullet"/>
      <w:lvlText w:val="o"/>
      <w:lvlJc w:val="left"/>
      <w:pPr>
        <w:ind w:left="1627" w:hanging="360"/>
      </w:pPr>
      <w:rPr>
        <w:rFonts w:ascii="Courier New" w:hAnsi="Courier New" w:cs="Courier New" w:hint="default"/>
      </w:rPr>
    </w:lvl>
    <w:lvl w:ilvl="2" w:tplc="080A0005">
      <w:start w:val="1"/>
      <w:numFmt w:val="bullet"/>
      <w:lvlText w:val=""/>
      <w:lvlJc w:val="left"/>
      <w:pPr>
        <w:ind w:left="2347" w:hanging="360"/>
      </w:pPr>
      <w:rPr>
        <w:rFonts w:ascii="Wingdings" w:hAnsi="Wingdings" w:hint="default"/>
      </w:rPr>
    </w:lvl>
    <w:lvl w:ilvl="3" w:tplc="080A0001">
      <w:start w:val="1"/>
      <w:numFmt w:val="bullet"/>
      <w:lvlText w:val=""/>
      <w:lvlJc w:val="left"/>
      <w:pPr>
        <w:ind w:left="3067" w:hanging="360"/>
      </w:pPr>
      <w:rPr>
        <w:rFonts w:ascii="Symbol" w:hAnsi="Symbol" w:hint="default"/>
      </w:rPr>
    </w:lvl>
    <w:lvl w:ilvl="4" w:tplc="080A0003">
      <w:start w:val="1"/>
      <w:numFmt w:val="bullet"/>
      <w:lvlText w:val="o"/>
      <w:lvlJc w:val="left"/>
      <w:pPr>
        <w:ind w:left="3787" w:hanging="360"/>
      </w:pPr>
      <w:rPr>
        <w:rFonts w:ascii="Courier New" w:hAnsi="Courier New" w:cs="Courier New" w:hint="default"/>
      </w:rPr>
    </w:lvl>
    <w:lvl w:ilvl="5" w:tplc="080A0005">
      <w:start w:val="1"/>
      <w:numFmt w:val="bullet"/>
      <w:lvlText w:val=""/>
      <w:lvlJc w:val="left"/>
      <w:pPr>
        <w:ind w:left="4507" w:hanging="360"/>
      </w:pPr>
      <w:rPr>
        <w:rFonts w:ascii="Wingdings" w:hAnsi="Wingdings" w:hint="default"/>
      </w:rPr>
    </w:lvl>
    <w:lvl w:ilvl="6" w:tplc="080A0001">
      <w:start w:val="1"/>
      <w:numFmt w:val="bullet"/>
      <w:lvlText w:val=""/>
      <w:lvlJc w:val="left"/>
      <w:pPr>
        <w:ind w:left="5227" w:hanging="360"/>
      </w:pPr>
      <w:rPr>
        <w:rFonts w:ascii="Symbol" w:hAnsi="Symbol" w:hint="default"/>
      </w:rPr>
    </w:lvl>
    <w:lvl w:ilvl="7" w:tplc="080A0003">
      <w:start w:val="1"/>
      <w:numFmt w:val="bullet"/>
      <w:lvlText w:val="o"/>
      <w:lvlJc w:val="left"/>
      <w:pPr>
        <w:ind w:left="5947" w:hanging="360"/>
      </w:pPr>
      <w:rPr>
        <w:rFonts w:ascii="Courier New" w:hAnsi="Courier New" w:cs="Courier New" w:hint="default"/>
      </w:rPr>
    </w:lvl>
    <w:lvl w:ilvl="8" w:tplc="080A0005">
      <w:start w:val="1"/>
      <w:numFmt w:val="bullet"/>
      <w:lvlText w:val=""/>
      <w:lvlJc w:val="left"/>
      <w:pPr>
        <w:ind w:left="6667" w:hanging="360"/>
      </w:pPr>
      <w:rPr>
        <w:rFonts w:ascii="Wingdings" w:hAnsi="Wingdings" w:hint="default"/>
      </w:rPr>
    </w:lvl>
  </w:abstractNum>
  <w:abstractNum w:abstractNumId="35" w15:restartNumberingAfterBreak="0">
    <w:nsid w:val="37097FD5"/>
    <w:multiLevelType w:val="hybridMultilevel"/>
    <w:tmpl w:val="BB2ABB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7347D4C"/>
    <w:multiLevelType w:val="hybridMultilevel"/>
    <w:tmpl w:val="5BB0D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7352072"/>
    <w:multiLevelType w:val="hybridMultilevel"/>
    <w:tmpl w:val="E02EC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9F82E40"/>
    <w:multiLevelType w:val="hybridMultilevel"/>
    <w:tmpl w:val="E6D2AED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3C7B0B45"/>
    <w:multiLevelType w:val="hybridMultilevel"/>
    <w:tmpl w:val="18A4B17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A302E6"/>
    <w:multiLevelType w:val="hybridMultilevel"/>
    <w:tmpl w:val="E786A2A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ECD065E"/>
    <w:multiLevelType w:val="hybridMultilevel"/>
    <w:tmpl w:val="E70C75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F027916"/>
    <w:multiLevelType w:val="hybridMultilevel"/>
    <w:tmpl w:val="019896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11336CE"/>
    <w:multiLevelType w:val="hybridMultilevel"/>
    <w:tmpl w:val="59CA1E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1371495"/>
    <w:multiLevelType w:val="hybridMultilevel"/>
    <w:tmpl w:val="A2028D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15F1A1F"/>
    <w:multiLevelType w:val="hybridMultilevel"/>
    <w:tmpl w:val="9F02C0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4E964C9"/>
    <w:multiLevelType w:val="hybridMultilevel"/>
    <w:tmpl w:val="619E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7751464"/>
    <w:multiLevelType w:val="hybridMultilevel"/>
    <w:tmpl w:val="EC923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8330C9A"/>
    <w:multiLevelType w:val="hybridMultilevel"/>
    <w:tmpl w:val="347A7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91906C8"/>
    <w:multiLevelType w:val="hybridMultilevel"/>
    <w:tmpl w:val="93C8DA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92F4D75"/>
    <w:multiLevelType w:val="hybridMultilevel"/>
    <w:tmpl w:val="6A28DBF6"/>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B1A73BA"/>
    <w:multiLevelType w:val="multilevel"/>
    <w:tmpl w:val="E4089EF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A12D1C"/>
    <w:multiLevelType w:val="hybridMultilevel"/>
    <w:tmpl w:val="928EEE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FB33D65"/>
    <w:multiLevelType w:val="multilevel"/>
    <w:tmpl w:val="216A6AB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4FC61FED"/>
    <w:multiLevelType w:val="hybridMultilevel"/>
    <w:tmpl w:val="1D1C080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1060F3F"/>
    <w:multiLevelType w:val="hybridMultilevel"/>
    <w:tmpl w:val="764E1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17129DB"/>
    <w:multiLevelType w:val="hybridMultilevel"/>
    <w:tmpl w:val="CC0C5E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172371E"/>
    <w:multiLevelType w:val="hybridMultilevel"/>
    <w:tmpl w:val="59A452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28201F9"/>
    <w:multiLevelType w:val="hybridMultilevel"/>
    <w:tmpl w:val="AB8EDC5E"/>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52E13830"/>
    <w:multiLevelType w:val="multilevel"/>
    <w:tmpl w:val="966635E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53F523D4"/>
    <w:multiLevelType w:val="hybridMultilevel"/>
    <w:tmpl w:val="837C8B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5487DF9"/>
    <w:multiLevelType w:val="hybridMultilevel"/>
    <w:tmpl w:val="07A6C200"/>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8F61A28"/>
    <w:multiLevelType w:val="hybridMultilevel"/>
    <w:tmpl w:val="32E4CC74"/>
    <w:lvl w:ilvl="0" w:tplc="080A000B">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65" w15:restartNumberingAfterBreak="0">
    <w:nsid w:val="5A0831F5"/>
    <w:multiLevelType w:val="multilevel"/>
    <w:tmpl w:val="A590286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5CA979C7"/>
    <w:multiLevelType w:val="hybridMultilevel"/>
    <w:tmpl w:val="54D4B6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E8A2C76"/>
    <w:multiLevelType w:val="hybridMultilevel"/>
    <w:tmpl w:val="624C54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F5B7A36"/>
    <w:multiLevelType w:val="hybridMultilevel"/>
    <w:tmpl w:val="727EB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70"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71" w15:restartNumberingAfterBreak="0">
    <w:nsid w:val="60FC5F55"/>
    <w:multiLevelType w:val="multilevel"/>
    <w:tmpl w:val="16C60D72"/>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619D10A8"/>
    <w:multiLevelType w:val="multilevel"/>
    <w:tmpl w:val="6B0C13E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659A0283"/>
    <w:multiLevelType w:val="hybridMultilevel"/>
    <w:tmpl w:val="60484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AF7499A"/>
    <w:multiLevelType w:val="hybridMultilevel"/>
    <w:tmpl w:val="D69E197C"/>
    <w:lvl w:ilvl="0" w:tplc="F1BC4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B462483"/>
    <w:multiLevelType w:val="hybridMultilevel"/>
    <w:tmpl w:val="DDF810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CA00A60"/>
    <w:multiLevelType w:val="hybridMultilevel"/>
    <w:tmpl w:val="70086802"/>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7" w15:restartNumberingAfterBreak="0">
    <w:nsid w:val="6CCD3B69"/>
    <w:multiLevelType w:val="hybridMultilevel"/>
    <w:tmpl w:val="B81466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E200D49"/>
    <w:multiLevelType w:val="hybridMultilevel"/>
    <w:tmpl w:val="CBA04B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E515FB6"/>
    <w:multiLevelType w:val="hybridMultilevel"/>
    <w:tmpl w:val="60AAC5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0664129"/>
    <w:multiLevelType w:val="hybridMultilevel"/>
    <w:tmpl w:val="F606F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07F7EEF"/>
    <w:multiLevelType w:val="hybridMultilevel"/>
    <w:tmpl w:val="EBD62A3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19F23D8"/>
    <w:multiLevelType w:val="hybridMultilevel"/>
    <w:tmpl w:val="B25AC8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28A5C6A"/>
    <w:multiLevelType w:val="hybridMultilevel"/>
    <w:tmpl w:val="37ECBC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86" w15:restartNumberingAfterBreak="0">
    <w:nsid w:val="749D6E03"/>
    <w:multiLevelType w:val="hybridMultilevel"/>
    <w:tmpl w:val="AEA43F74"/>
    <w:lvl w:ilvl="0" w:tplc="080A000B">
      <w:start w:val="1"/>
      <w:numFmt w:val="bullet"/>
      <w:lvlText w:val=""/>
      <w:lvlJc w:val="left"/>
      <w:pPr>
        <w:ind w:left="720" w:hanging="360"/>
      </w:pPr>
      <w:rPr>
        <w:rFonts w:ascii="Wingdings" w:hAnsi="Wingdings" w:hint="default"/>
      </w:rPr>
    </w:lvl>
    <w:lvl w:ilvl="1" w:tplc="9D44B2B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4F410AC"/>
    <w:multiLevelType w:val="hybridMultilevel"/>
    <w:tmpl w:val="B42C9A28"/>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3E26F7"/>
    <w:multiLevelType w:val="hybridMultilevel"/>
    <w:tmpl w:val="2F7C23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91A3757"/>
    <w:multiLevelType w:val="hybridMultilevel"/>
    <w:tmpl w:val="7CAC5F60"/>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C71517F"/>
    <w:multiLevelType w:val="hybridMultilevel"/>
    <w:tmpl w:val="64603F6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E5C5CAF"/>
    <w:multiLevelType w:val="hybridMultilevel"/>
    <w:tmpl w:val="047A3CA0"/>
    <w:lvl w:ilvl="0" w:tplc="08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16cid:durableId="1413699311">
    <w:abstractNumId w:val="69"/>
  </w:num>
  <w:num w:numId="2" w16cid:durableId="286863325">
    <w:abstractNumId w:val="47"/>
  </w:num>
  <w:num w:numId="3" w16cid:durableId="354888483">
    <w:abstractNumId w:val="70"/>
  </w:num>
  <w:num w:numId="4" w16cid:durableId="1026559755">
    <w:abstractNumId w:val="78"/>
  </w:num>
  <w:num w:numId="5" w16cid:durableId="352070435">
    <w:abstractNumId w:val="53"/>
  </w:num>
  <w:num w:numId="6" w16cid:durableId="1032919452">
    <w:abstractNumId w:val="85"/>
  </w:num>
  <w:num w:numId="7" w16cid:durableId="1190294563">
    <w:abstractNumId w:val="1"/>
  </w:num>
  <w:num w:numId="8" w16cid:durableId="130758434">
    <w:abstractNumId w:val="74"/>
  </w:num>
  <w:num w:numId="9" w16cid:durableId="1070350370">
    <w:abstractNumId w:val="17"/>
  </w:num>
  <w:num w:numId="10" w16cid:durableId="536700653">
    <w:abstractNumId w:val="83"/>
  </w:num>
  <w:num w:numId="11" w16cid:durableId="439643360">
    <w:abstractNumId w:val="13"/>
  </w:num>
  <w:num w:numId="12" w16cid:durableId="655690993">
    <w:abstractNumId w:val="50"/>
  </w:num>
  <w:num w:numId="13" w16cid:durableId="1063524045">
    <w:abstractNumId w:val="48"/>
  </w:num>
  <w:num w:numId="14" w16cid:durableId="1275597153">
    <w:abstractNumId w:val="7"/>
  </w:num>
  <w:num w:numId="15" w16cid:durableId="274681494">
    <w:abstractNumId w:val="81"/>
  </w:num>
  <w:num w:numId="16" w16cid:durableId="2137673111">
    <w:abstractNumId w:val="9"/>
  </w:num>
  <w:num w:numId="17" w16cid:durableId="434177150">
    <w:abstractNumId w:val="36"/>
  </w:num>
  <w:num w:numId="18" w16cid:durableId="691032831">
    <w:abstractNumId w:val="57"/>
  </w:num>
  <w:num w:numId="19" w16cid:durableId="2003509293">
    <w:abstractNumId w:val="67"/>
  </w:num>
  <w:num w:numId="20" w16cid:durableId="1747994729">
    <w:abstractNumId w:val="55"/>
  </w:num>
  <w:num w:numId="21" w16cid:durableId="272325488">
    <w:abstractNumId w:val="3"/>
  </w:num>
  <w:num w:numId="22" w16cid:durableId="1515420799">
    <w:abstractNumId w:val="35"/>
  </w:num>
  <w:num w:numId="23" w16cid:durableId="299699988">
    <w:abstractNumId w:val="49"/>
  </w:num>
  <w:num w:numId="24" w16cid:durableId="1543051595">
    <w:abstractNumId w:val="52"/>
  </w:num>
  <w:num w:numId="25" w16cid:durableId="520821962">
    <w:abstractNumId w:val="0"/>
  </w:num>
  <w:num w:numId="26" w16cid:durableId="588391073">
    <w:abstractNumId w:val="24"/>
  </w:num>
  <w:num w:numId="27" w16cid:durableId="1241866264">
    <w:abstractNumId w:val="33"/>
  </w:num>
  <w:num w:numId="28" w16cid:durableId="1445802316">
    <w:abstractNumId w:val="23"/>
  </w:num>
  <w:num w:numId="29" w16cid:durableId="1969506574">
    <w:abstractNumId w:val="18"/>
  </w:num>
  <w:num w:numId="30" w16cid:durableId="13698801">
    <w:abstractNumId w:val="84"/>
  </w:num>
  <w:num w:numId="31" w16cid:durableId="332296401">
    <w:abstractNumId w:val="43"/>
  </w:num>
  <w:num w:numId="32" w16cid:durableId="1323117019">
    <w:abstractNumId w:val="61"/>
  </w:num>
  <w:num w:numId="33" w16cid:durableId="1798450142">
    <w:abstractNumId w:val="59"/>
  </w:num>
  <w:num w:numId="34" w16cid:durableId="646591339">
    <w:abstractNumId w:val="5"/>
  </w:num>
  <w:num w:numId="35" w16cid:durableId="1054699135">
    <w:abstractNumId w:val="58"/>
  </w:num>
  <w:num w:numId="36" w16cid:durableId="272976523">
    <w:abstractNumId w:val="65"/>
  </w:num>
  <w:num w:numId="37" w16cid:durableId="368992048">
    <w:abstractNumId w:val="72"/>
  </w:num>
  <w:num w:numId="38" w16cid:durableId="558710727">
    <w:abstractNumId w:val="28"/>
  </w:num>
  <w:num w:numId="39" w16cid:durableId="1206865120">
    <w:abstractNumId w:val="71"/>
  </w:num>
  <w:num w:numId="40" w16cid:durableId="732511675">
    <w:abstractNumId w:val="41"/>
  </w:num>
  <w:num w:numId="41" w16cid:durableId="1005522006">
    <w:abstractNumId w:val="91"/>
  </w:num>
  <w:num w:numId="42" w16cid:durableId="1672945635">
    <w:abstractNumId w:val="37"/>
  </w:num>
  <w:num w:numId="43" w16cid:durableId="1339767901">
    <w:abstractNumId w:val="76"/>
  </w:num>
  <w:num w:numId="44" w16cid:durableId="1127236202">
    <w:abstractNumId w:val="46"/>
  </w:num>
  <w:num w:numId="45" w16cid:durableId="550271175">
    <w:abstractNumId w:val="42"/>
  </w:num>
  <w:num w:numId="46" w16cid:durableId="348600950">
    <w:abstractNumId w:val="32"/>
  </w:num>
  <w:num w:numId="47" w16cid:durableId="816579">
    <w:abstractNumId w:val="45"/>
  </w:num>
  <w:num w:numId="48" w16cid:durableId="1217358759">
    <w:abstractNumId w:val="4"/>
  </w:num>
  <w:num w:numId="49" w16cid:durableId="1387072144">
    <w:abstractNumId w:val="26"/>
  </w:num>
  <w:num w:numId="50" w16cid:durableId="1627851323">
    <w:abstractNumId w:val="27"/>
  </w:num>
  <w:num w:numId="51" w16cid:durableId="922758928">
    <w:abstractNumId w:val="19"/>
  </w:num>
  <w:num w:numId="52" w16cid:durableId="1253204425">
    <w:abstractNumId w:val="14"/>
  </w:num>
  <w:num w:numId="53" w16cid:durableId="635141511">
    <w:abstractNumId w:val="68"/>
  </w:num>
  <w:num w:numId="54" w16cid:durableId="423038778">
    <w:abstractNumId w:val="2"/>
  </w:num>
  <w:num w:numId="55" w16cid:durableId="2068217366">
    <w:abstractNumId w:val="30"/>
  </w:num>
  <w:num w:numId="56" w16cid:durableId="681972513">
    <w:abstractNumId w:val="90"/>
  </w:num>
  <w:num w:numId="57" w16cid:durableId="1193609587">
    <w:abstractNumId w:val="63"/>
  </w:num>
  <w:num w:numId="58" w16cid:durableId="2114090005">
    <w:abstractNumId w:val="39"/>
  </w:num>
  <w:num w:numId="59" w16cid:durableId="1897348782">
    <w:abstractNumId w:val="6"/>
  </w:num>
  <w:num w:numId="60" w16cid:durableId="1613512203">
    <w:abstractNumId w:val="29"/>
  </w:num>
  <w:num w:numId="61" w16cid:durableId="1680160842">
    <w:abstractNumId w:val="51"/>
  </w:num>
  <w:num w:numId="62" w16cid:durableId="1546065067">
    <w:abstractNumId w:val="10"/>
  </w:num>
  <w:num w:numId="63" w16cid:durableId="951085609">
    <w:abstractNumId w:val="21"/>
  </w:num>
  <w:num w:numId="64" w16cid:durableId="53163770">
    <w:abstractNumId w:val="56"/>
  </w:num>
  <w:num w:numId="65" w16cid:durableId="1629824569">
    <w:abstractNumId w:val="87"/>
  </w:num>
  <w:num w:numId="66" w16cid:durableId="2017032293">
    <w:abstractNumId w:val="86"/>
  </w:num>
  <w:num w:numId="67" w16cid:durableId="1185828769">
    <w:abstractNumId w:val="82"/>
  </w:num>
  <w:num w:numId="68" w16cid:durableId="437330742">
    <w:abstractNumId w:val="16"/>
  </w:num>
  <w:num w:numId="69" w16cid:durableId="930234065">
    <w:abstractNumId w:val="44"/>
  </w:num>
  <w:num w:numId="70" w16cid:durableId="1006440281">
    <w:abstractNumId w:val="62"/>
  </w:num>
  <w:num w:numId="71" w16cid:durableId="644549849">
    <w:abstractNumId w:val="12"/>
  </w:num>
  <w:num w:numId="72" w16cid:durableId="763573869">
    <w:abstractNumId w:val="60"/>
  </w:num>
  <w:num w:numId="73" w16cid:durableId="266354163">
    <w:abstractNumId w:val="31"/>
  </w:num>
  <w:num w:numId="74" w16cid:durableId="1759134816">
    <w:abstractNumId w:val="40"/>
  </w:num>
  <w:num w:numId="75" w16cid:durableId="1116102219">
    <w:abstractNumId w:val="8"/>
  </w:num>
  <w:num w:numId="76" w16cid:durableId="4408300">
    <w:abstractNumId w:val="11"/>
  </w:num>
  <w:num w:numId="77" w16cid:durableId="1448350218">
    <w:abstractNumId w:val="22"/>
  </w:num>
  <w:num w:numId="78" w16cid:durableId="875241425">
    <w:abstractNumId w:val="15"/>
  </w:num>
  <w:num w:numId="79" w16cid:durableId="771631324">
    <w:abstractNumId w:val="66"/>
  </w:num>
  <w:num w:numId="80" w16cid:durableId="2007826936">
    <w:abstractNumId w:val="75"/>
  </w:num>
  <w:num w:numId="81" w16cid:durableId="1556236283">
    <w:abstractNumId w:val="77"/>
  </w:num>
  <w:num w:numId="82" w16cid:durableId="667175227">
    <w:abstractNumId w:val="79"/>
  </w:num>
  <w:num w:numId="83" w16cid:durableId="770245055">
    <w:abstractNumId w:val="20"/>
  </w:num>
  <w:num w:numId="84" w16cid:durableId="318466866">
    <w:abstractNumId w:val="80"/>
  </w:num>
  <w:num w:numId="85" w16cid:durableId="1046684249">
    <w:abstractNumId w:val="89"/>
  </w:num>
  <w:num w:numId="86" w16cid:durableId="783159187">
    <w:abstractNumId w:val="25"/>
  </w:num>
  <w:num w:numId="87" w16cid:durableId="687029896">
    <w:abstractNumId w:val="73"/>
  </w:num>
  <w:num w:numId="88" w16cid:durableId="1756510674">
    <w:abstractNumId w:val="88"/>
  </w:num>
  <w:num w:numId="89" w16cid:durableId="819077479">
    <w:abstractNumId w:val="34"/>
  </w:num>
  <w:num w:numId="90" w16cid:durableId="289945357">
    <w:abstractNumId w:val="73"/>
  </w:num>
  <w:num w:numId="91" w16cid:durableId="1822500519">
    <w:abstractNumId w:val="38"/>
  </w:num>
  <w:num w:numId="92" w16cid:durableId="146365735">
    <w:abstractNumId w:val="64"/>
  </w:num>
  <w:num w:numId="93" w16cid:durableId="2052802779">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1C"/>
    <w:rsid w:val="000020AE"/>
    <w:rsid w:val="0000265D"/>
    <w:rsid w:val="00004065"/>
    <w:rsid w:val="00012B37"/>
    <w:rsid w:val="00014488"/>
    <w:rsid w:val="000170C6"/>
    <w:rsid w:val="000173BB"/>
    <w:rsid w:val="00017992"/>
    <w:rsid w:val="0002094D"/>
    <w:rsid w:val="00022A10"/>
    <w:rsid w:val="000243CA"/>
    <w:rsid w:val="000257DD"/>
    <w:rsid w:val="000258B9"/>
    <w:rsid w:val="000269DC"/>
    <w:rsid w:val="0003007F"/>
    <w:rsid w:val="00030304"/>
    <w:rsid w:val="0003374A"/>
    <w:rsid w:val="00035738"/>
    <w:rsid w:val="000369EC"/>
    <w:rsid w:val="00040270"/>
    <w:rsid w:val="0004248F"/>
    <w:rsid w:val="00044CDA"/>
    <w:rsid w:val="00050D9A"/>
    <w:rsid w:val="000511AD"/>
    <w:rsid w:val="000522B7"/>
    <w:rsid w:val="0005246D"/>
    <w:rsid w:val="00052E11"/>
    <w:rsid w:val="00055B1A"/>
    <w:rsid w:val="00056349"/>
    <w:rsid w:val="00057082"/>
    <w:rsid w:val="00057583"/>
    <w:rsid w:val="000606D7"/>
    <w:rsid w:val="0006102B"/>
    <w:rsid w:val="0006285E"/>
    <w:rsid w:val="000629C9"/>
    <w:rsid w:val="00064C15"/>
    <w:rsid w:val="0006579D"/>
    <w:rsid w:val="0006686B"/>
    <w:rsid w:val="0006786C"/>
    <w:rsid w:val="00071FC7"/>
    <w:rsid w:val="00073325"/>
    <w:rsid w:val="000748B3"/>
    <w:rsid w:val="00074B57"/>
    <w:rsid w:val="000757F6"/>
    <w:rsid w:val="00076DC9"/>
    <w:rsid w:val="00081D5B"/>
    <w:rsid w:val="00083342"/>
    <w:rsid w:val="000833E2"/>
    <w:rsid w:val="00083A5D"/>
    <w:rsid w:val="00083CB4"/>
    <w:rsid w:val="000848FD"/>
    <w:rsid w:val="00085A7B"/>
    <w:rsid w:val="000860EB"/>
    <w:rsid w:val="000868D5"/>
    <w:rsid w:val="00087A9F"/>
    <w:rsid w:val="00087D33"/>
    <w:rsid w:val="00092E7B"/>
    <w:rsid w:val="00093F51"/>
    <w:rsid w:val="00094CF7"/>
    <w:rsid w:val="0009712C"/>
    <w:rsid w:val="000A0782"/>
    <w:rsid w:val="000A0BE0"/>
    <w:rsid w:val="000A4A2A"/>
    <w:rsid w:val="000A544C"/>
    <w:rsid w:val="000A5E6C"/>
    <w:rsid w:val="000A7D36"/>
    <w:rsid w:val="000B2CE4"/>
    <w:rsid w:val="000B4746"/>
    <w:rsid w:val="000B6236"/>
    <w:rsid w:val="000B630E"/>
    <w:rsid w:val="000C006C"/>
    <w:rsid w:val="000C1CE6"/>
    <w:rsid w:val="000C3227"/>
    <w:rsid w:val="000C4811"/>
    <w:rsid w:val="000C4898"/>
    <w:rsid w:val="000C68DF"/>
    <w:rsid w:val="000C6BA8"/>
    <w:rsid w:val="000C7703"/>
    <w:rsid w:val="000C7C2F"/>
    <w:rsid w:val="000D0E2C"/>
    <w:rsid w:val="000D6592"/>
    <w:rsid w:val="000E081C"/>
    <w:rsid w:val="000E0FE1"/>
    <w:rsid w:val="000E1B18"/>
    <w:rsid w:val="000E2806"/>
    <w:rsid w:val="000E29E2"/>
    <w:rsid w:val="000E2CA9"/>
    <w:rsid w:val="000E397D"/>
    <w:rsid w:val="000E4431"/>
    <w:rsid w:val="000E4DBB"/>
    <w:rsid w:val="000E6E18"/>
    <w:rsid w:val="000F1367"/>
    <w:rsid w:val="000F23F2"/>
    <w:rsid w:val="000F2466"/>
    <w:rsid w:val="000F5116"/>
    <w:rsid w:val="000F6BAE"/>
    <w:rsid w:val="00100516"/>
    <w:rsid w:val="00100CF4"/>
    <w:rsid w:val="00102975"/>
    <w:rsid w:val="00102E30"/>
    <w:rsid w:val="00103FB7"/>
    <w:rsid w:val="001059B2"/>
    <w:rsid w:val="0010676D"/>
    <w:rsid w:val="00106A34"/>
    <w:rsid w:val="00111F3B"/>
    <w:rsid w:val="00111F8E"/>
    <w:rsid w:val="00112046"/>
    <w:rsid w:val="001121F1"/>
    <w:rsid w:val="00113509"/>
    <w:rsid w:val="00113EDF"/>
    <w:rsid w:val="00117369"/>
    <w:rsid w:val="00117D07"/>
    <w:rsid w:val="00120C31"/>
    <w:rsid w:val="001220A1"/>
    <w:rsid w:val="001225B4"/>
    <w:rsid w:val="00131625"/>
    <w:rsid w:val="00132778"/>
    <w:rsid w:val="00135026"/>
    <w:rsid w:val="00135C64"/>
    <w:rsid w:val="00137B77"/>
    <w:rsid w:val="00140C4B"/>
    <w:rsid w:val="00140DD8"/>
    <w:rsid w:val="0014161D"/>
    <w:rsid w:val="00141BCC"/>
    <w:rsid w:val="001456F2"/>
    <w:rsid w:val="001469DD"/>
    <w:rsid w:val="00150F7F"/>
    <w:rsid w:val="0015138E"/>
    <w:rsid w:val="001527E5"/>
    <w:rsid w:val="00155AE6"/>
    <w:rsid w:val="00156C11"/>
    <w:rsid w:val="001614B3"/>
    <w:rsid w:val="00162AE5"/>
    <w:rsid w:val="00164AE7"/>
    <w:rsid w:val="001661D0"/>
    <w:rsid w:val="00166C6A"/>
    <w:rsid w:val="001702AB"/>
    <w:rsid w:val="0017074D"/>
    <w:rsid w:val="00172A06"/>
    <w:rsid w:val="00173905"/>
    <w:rsid w:val="00173A93"/>
    <w:rsid w:val="00177ACC"/>
    <w:rsid w:val="00180068"/>
    <w:rsid w:val="00180426"/>
    <w:rsid w:val="001807B2"/>
    <w:rsid w:val="00180F7A"/>
    <w:rsid w:val="00183D0B"/>
    <w:rsid w:val="00184289"/>
    <w:rsid w:val="001872A2"/>
    <w:rsid w:val="001911EB"/>
    <w:rsid w:val="00196DD8"/>
    <w:rsid w:val="001A0C46"/>
    <w:rsid w:val="001A308B"/>
    <w:rsid w:val="001A3447"/>
    <w:rsid w:val="001A4D4B"/>
    <w:rsid w:val="001A518C"/>
    <w:rsid w:val="001A6F92"/>
    <w:rsid w:val="001A73ED"/>
    <w:rsid w:val="001B0EC8"/>
    <w:rsid w:val="001B3D8D"/>
    <w:rsid w:val="001B6970"/>
    <w:rsid w:val="001C1942"/>
    <w:rsid w:val="001C2BC1"/>
    <w:rsid w:val="001C2CBB"/>
    <w:rsid w:val="001C3B3C"/>
    <w:rsid w:val="001C4D00"/>
    <w:rsid w:val="001C58BB"/>
    <w:rsid w:val="001D3E38"/>
    <w:rsid w:val="001D404F"/>
    <w:rsid w:val="001D5174"/>
    <w:rsid w:val="001E0446"/>
    <w:rsid w:val="001E09C0"/>
    <w:rsid w:val="001E0AB4"/>
    <w:rsid w:val="001E137A"/>
    <w:rsid w:val="001E48EC"/>
    <w:rsid w:val="001E5A14"/>
    <w:rsid w:val="001E5A2E"/>
    <w:rsid w:val="001F2C9E"/>
    <w:rsid w:val="001F3CDE"/>
    <w:rsid w:val="001F429A"/>
    <w:rsid w:val="001F44BC"/>
    <w:rsid w:val="001F459B"/>
    <w:rsid w:val="001F5B78"/>
    <w:rsid w:val="001F7786"/>
    <w:rsid w:val="00200F15"/>
    <w:rsid w:val="00202841"/>
    <w:rsid w:val="002028E7"/>
    <w:rsid w:val="00202B8E"/>
    <w:rsid w:val="00202C19"/>
    <w:rsid w:val="002030BD"/>
    <w:rsid w:val="00204437"/>
    <w:rsid w:val="00204B35"/>
    <w:rsid w:val="00210941"/>
    <w:rsid w:val="00211A32"/>
    <w:rsid w:val="00214D5B"/>
    <w:rsid w:val="0021602B"/>
    <w:rsid w:val="0021607E"/>
    <w:rsid w:val="002162DC"/>
    <w:rsid w:val="0022162E"/>
    <w:rsid w:val="00221C84"/>
    <w:rsid w:val="0022422B"/>
    <w:rsid w:val="0022510F"/>
    <w:rsid w:val="00225C54"/>
    <w:rsid w:val="002301BC"/>
    <w:rsid w:val="00233D3E"/>
    <w:rsid w:val="00234F84"/>
    <w:rsid w:val="0023717F"/>
    <w:rsid w:val="00241B94"/>
    <w:rsid w:val="00241F7D"/>
    <w:rsid w:val="00243972"/>
    <w:rsid w:val="00243B14"/>
    <w:rsid w:val="00243B68"/>
    <w:rsid w:val="00244557"/>
    <w:rsid w:val="00244A30"/>
    <w:rsid w:val="002461DC"/>
    <w:rsid w:val="00246CD0"/>
    <w:rsid w:val="002511F8"/>
    <w:rsid w:val="00251C2B"/>
    <w:rsid w:val="002520C0"/>
    <w:rsid w:val="00252B8A"/>
    <w:rsid w:val="00252BC8"/>
    <w:rsid w:val="002536DD"/>
    <w:rsid w:val="00257FD6"/>
    <w:rsid w:val="00260CAB"/>
    <w:rsid w:val="00260E31"/>
    <w:rsid w:val="00263360"/>
    <w:rsid w:val="00263459"/>
    <w:rsid w:val="002641AB"/>
    <w:rsid w:val="0026536E"/>
    <w:rsid w:val="00267397"/>
    <w:rsid w:val="00267C73"/>
    <w:rsid w:val="00270CC7"/>
    <w:rsid w:val="00271E5E"/>
    <w:rsid w:val="00272D3F"/>
    <w:rsid w:val="00274C14"/>
    <w:rsid w:val="00274F07"/>
    <w:rsid w:val="0027750F"/>
    <w:rsid w:val="002778C0"/>
    <w:rsid w:val="002806CA"/>
    <w:rsid w:val="00280F04"/>
    <w:rsid w:val="002810C0"/>
    <w:rsid w:val="00281C0A"/>
    <w:rsid w:val="00282CF4"/>
    <w:rsid w:val="00283C7D"/>
    <w:rsid w:val="00285072"/>
    <w:rsid w:val="002861CC"/>
    <w:rsid w:val="00286889"/>
    <w:rsid w:val="00287392"/>
    <w:rsid w:val="00287B47"/>
    <w:rsid w:val="00290956"/>
    <w:rsid w:val="0029200E"/>
    <w:rsid w:val="00292B70"/>
    <w:rsid w:val="002936DB"/>
    <w:rsid w:val="002954BF"/>
    <w:rsid w:val="00295657"/>
    <w:rsid w:val="00296FD2"/>
    <w:rsid w:val="002A02A0"/>
    <w:rsid w:val="002A0750"/>
    <w:rsid w:val="002A376C"/>
    <w:rsid w:val="002A48BC"/>
    <w:rsid w:val="002A6003"/>
    <w:rsid w:val="002A6782"/>
    <w:rsid w:val="002A7DE7"/>
    <w:rsid w:val="002B0163"/>
    <w:rsid w:val="002B0CA2"/>
    <w:rsid w:val="002B24F1"/>
    <w:rsid w:val="002B2B9A"/>
    <w:rsid w:val="002B30D4"/>
    <w:rsid w:val="002B3523"/>
    <w:rsid w:val="002B3711"/>
    <w:rsid w:val="002C1921"/>
    <w:rsid w:val="002C1B01"/>
    <w:rsid w:val="002C2CC8"/>
    <w:rsid w:val="002C2E88"/>
    <w:rsid w:val="002C7EA2"/>
    <w:rsid w:val="002D072D"/>
    <w:rsid w:val="002D2438"/>
    <w:rsid w:val="002D375F"/>
    <w:rsid w:val="002D7C7C"/>
    <w:rsid w:val="002E1332"/>
    <w:rsid w:val="002E24E1"/>
    <w:rsid w:val="002E25DB"/>
    <w:rsid w:val="002E33A2"/>
    <w:rsid w:val="002E3903"/>
    <w:rsid w:val="002E428F"/>
    <w:rsid w:val="002E5976"/>
    <w:rsid w:val="002F4E0D"/>
    <w:rsid w:val="00301116"/>
    <w:rsid w:val="00301E3D"/>
    <w:rsid w:val="003032BB"/>
    <w:rsid w:val="003052FF"/>
    <w:rsid w:val="00307506"/>
    <w:rsid w:val="00307E8E"/>
    <w:rsid w:val="00310BF3"/>
    <w:rsid w:val="00310F51"/>
    <w:rsid w:val="003140E1"/>
    <w:rsid w:val="003156C2"/>
    <w:rsid w:val="00316552"/>
    <w:rsid w:val="0031664C"/>
    <w:rsid w:val="00317FE8"/>
    <w:rsid w:val="00321E1E"/>
    <w:rsid w:val="003248F1"/>
    <w:rsid w:val="00324E97"/>
    <w:rsid w:val="00325426"/>
    <w:rsid w:val="00326A15"/>
    <w:rsid w:val="003275FB"/>
    <w:rsid w:val="00327B25"/>
    <w:rsid w:val="00332DAE"/>
    <w:rsid w:val="003354FF"/>
    <w:rsid w:val="0034001B"/>
    <w:rsid w:val="003417D9"/>
    <w:rsid w:val="00342F71"/>
    <w:rsid w:val="00345C95"/>
    <w:rsid w:val="003462E9"/>
    <w:rsid w:val="00347526"/>
    <w:rsid w:val="003504B8"/>
    <w:rsid w:val="00350983"/>
    <w:rsid w:val="0035137A"/>
    <w:rsid w:val="003543A4"/>
    <w:rsid w:val="003545D5"/>
    <w:rsid w:val="00354816"/>
    <w:rsid w:val="00357C25"/>
    <w:rsid w:val="0036111E"/>
    <w:rsid w:val="00362518"/>
    <w:rsid w:val="003654B3"/>
    <w:rsid w:val="00366C48"/>
    <w:rsid w:val="00367115"/>
    <w:rsid w:val="0037120D"/>
    <w:rsid w:val="0037216F"/>
    <w:rsid w:val="00372C3F"/>
    <w:rsid w:val="00373F68"/>
    <w:rsid w:val="003801B3"/>
    <w:rsid w:val="00380CA6"/>
    <w:rsid w:val="00380E7B"/>
    <w:rsid w:val="00382E33"/>
    <w:rsid w:val="00384CA0"/>
    <w:rsid w:val="00385108"/>
    <w:rsid w:val="00390C76"/>
    <w:rsid w:val="00392415"/>
    <w:rsid w:val="00393450"/>
    <w:rsid w:val="0039371B"/>
    <w:rsid w:val="0039373B"/>
    <w:rsid w:val="00394863"/>
    <w:rsid w:val="003972FD"/>
    <w:rsid w:val="003A0BAC"/>
    <w:rsid w:val="003A2B0B"/>
    <w:rsid w:val="003A2F89"/>
    <w:rsid w:val="003A3321"/>
    <w:rsid w:val="003A3401"/>
    <w:rsid w:val="003A3DE2"/>
    <w:rsid w:val="003A6EAA"/>
    <w:rsid w:val="003A7B01"/>
    <w:rsid w:val="003A7F3F"/>
    <w:rsid w:val="003B273A"/>
    <w:rsid w:val="003B2854"/>
    <w:rsid w:val="003B2931"/>
    <w:rsid w:val="003B3A42"/>
    <w:rsid w:val="003B74D6"/>
    <w:rsid w:val="003C00CB"/>
    <w:rsid w:val="003C1CE7"/>
    <w:rsid w:val="003C4482"/>
    <w:rsid w:val="003C4AB3"/>
    <w:rsid w:val="003C4ECC"/>
    <w:rsid w:val="003C5EE9"/>
    <w:rsid w:val="003D06BE"/>
    <w:rsid w:val="003D08A9"/>
    <w:rsid w:val="003D2EF3"/>
    <w:rsid w:val="003D58B5"/>
    <w:rsid w:val="003D6165"/>
    <w:rsid w:val="003D65F2"/>
    <w:rsid w:val="003D69D6"/>
    <w:rsid w:val="003D7EBA"/>
    <w:rsid w:val="003E0D95"/>
    <w:rsid w:val="003E1FC0"/>
    <w:rsid w:val="003E43B2"/>
    <w:rsid w:val="003E461D"/>
    <w:rsid w:val="003E4923"/>
    <w:rsid w:val="003E766E"/>
    <w:rsid w:val="003F2A12"/>
    <w:rsid w:val="003F2ACF"/>
    <w:rsid w:val="003F53EE"/>
    <w:rsid w:val="003F7835"/>
    <w:rsid w:val="004000EC"/>
    <w:rsid w:val="004005A8"/>
    <w:rsid w:val="004017B6"/>
    <w:rsid w:val="00402E75"/>
    <w:rsid w:val="00403773"/>
    <w:rsid w:val="00403ECF"/>
    <w:rsid w:val="004045E4"/>
    <w:rsid w:val="00407668"/>
    <w:rsid w:val="00412860"/>
    <w:rsid w:val="00415559"/>
    <w:rsid w:val="00415AAF"/>
    <w:rsid w:val="004209AD"/>
    <w:rsid w:val="004225BE"/>
    <w:rsid w:val="00423930"/>
    <w:rsid w:val="004249BC"/>
    <w:rsid w:val="00424E08"/>
    <w:rsid w:val="00426021"/>
    <w:rsid w:val="00426B7B"/>
    <w:rsid w:val="00430662"/>
    <w:rsid w:val="0043151F"/>
    <w:rsid w:val="00432334"/>
    <w:rsid w:val="00432C9A"/>
    <w:rsid w:val="00434B83"/>
    <w:rsid w:val="0043513B"/>
    <w:rsid w:val="00437855"/>
    <w:rsid w:val="004400AE"/>
    <w:rsid w:val="0044011D"/>
    <w:rsid w:val="00440EDB"/>
    <w:rsid w:val="004413F5"/>
    <w:rsid w:val="00441740"/>
    <w:rsid w:val="00443FD5"/>
    <w:rsid w:val="00450C2E"/>
    <w:rsid w:val="00453A73"/>
    <w:rsid w:val="0045593E"/>
    <w:rsid w:val="00456831"/>
    <w:rsid w:val="00460DC1"/>
    <w:rsid w:val="00461C08"/>
    <w:rsid w:val="00462689"/>
    <w:rsid w:val="00463989"/>
    <w:rsid w:val="00465103"/>
    <w:rsid w:val="00465F71"/>
    <w:rsid w:val="00466511"/>
    <w:rsid w:val="00471C1C"/>
    <w:rsid w:val="00476C78"/>
    <w:rsid w:val="0047740A"/>
    <w:rsid w:val="00477E89"/>
    <w:rsid w:val="0048092C"/>
    <w:rsid w:val="004813A2"/>
    <w:rsid w:val="00482BCC"/>
    <w:rsid w:val="00483C33"/>
    <w:rsid w:val="00484723"/>
    <w:rsid w:val="0048724D"/>
    <w:rsid w:val="00490666"/>
    <w:rsid w:val="00494864"/>
    <w:rsid w:val="0049520E"/>
    <w:rsid w:val="00495AF7"/>
    <w:rsid w:val="0049749F"/>
    <w:rsid w:val="004A214E"/>
    <w:rsid w:val="004A5DE5"/>
    <w:rsid w:val="004A649B"/>
    <w:rsid w:val="004A71E7"/>
    <w:rsid w:val="004B1F81"/>
    <w:rsid w:val="004B3F3B"/>
    <w:rsid w:val="004B4093"/>
    <w:rsid w:val="004B40D4"/>
    <w:rsid w:val="004B4128"/>
    <w:rsid w:val="004B5651"/>
    <w:rsid w:val="004B611F"/>
    <w:rsid w:val="004B7BED"/>
    <w:rsid w:val="004B7BF2"/>
    <w:rsid w:val="004C1A21"/>
    <w:rsid w:val="004C260D"/>
    <w:rsid w:val="004C4C89"/>
    <w:rsid w:val="004C5460"/>
    <w:rsid w:val="004C56F4"/>
    <w:rsid w:val="004C5BC5"/>
    <w:rsid w:val="004C5BCA"/>
    <w:rsid w:val="004C6870"/>
    <w:rsid w:val="004D2496"/>
    <w:rsid w:val="004D2949"/>
    <w:rsid w:val="004D2E86"/>
    <w:rsid w:val="004D3758"/>
    <w:rsid w:val="004D4E7E"/>
    <w:rsid w:val="004D59E2"/>
    <w:rsid w:val="004D71EE"/>
    <w:rsid w:val="004D7939"/>
    <w:rsid w:val="004D7AE8"/>
    <w:rsid w:val="004E0D88"/>
    <w:rsid w:val="004E2E32"/>
    <w:rsid w:val="004E3345"/>
    <w:rsid w:val="004E33CB"/>
    <w:rsid w:val="004E3947"/>
    <w:rsid w:val="004E39CD"/>
    <w:rsid w:val="004E6782"/>
    <w:rsid w:val="004E7E2C"/>
    <w:rsid w:val="004F0BE0"/>
    <w:rsid w:val="004F1ECA"/>
    <w:rsid w:val="004F3276"/>
    <w:rsid w:val="004F5E56"/>
    <w:rsid w:val="004F6B3A"/>
    <w:rsid w:val="004F6EC6"/>
    <w:rsid w:val="004F7BC1"/>
    <w:rsid w:val="0050138A"/>
    <w:rsid w:val="0050360F"/>
    <w:rsid w:val="00503DDE"/>
    <w:rsid w:val="00505311"/>
    <w:rsid w:val="0050726A"/>
    <w:rsid w:val="005074CF"/>
    <w:rsid w:val="00511621"/>
    <w:rsid w:val="00511F97"/>
    <w:rsid w:val="005120CE"/>
    <w:rsid w:val="00512DC7"/>
    <w:rsid w:val="00514BB2"/>
    <w:rsid w:val="005162BD"/>
    <w:rsid w:val="00517259"/>
    <w:rsid w:val="00517751"/>
    <w:rsid w:val="00520E0D"/>
    <w:rsid w:val="005216F6"/>
    <w:rsid w:val="0052326A"/>
    <w:rsid w:val="0052346B"/>
    <w:rsid w:val="00531079"/>
    <w:rsid w:val="00532EFE"/>
    <w:rsid w:val="00534DFB"/>
    <w:rsid w:val="00535DC1"/>
    <w:rsid w:val="005418AD"/>
    <w:rsid w:val="00543F98"/>
    <w:rsid w:val="0054402A"/>
    <w:rsid w:val="0054465E"/>
    <w:rsid w:val="0054514C"/>
    <w:rsid w:val="00547B9E"/>
    <w:rsid w:val="005520AA"/>
    <w:rsid w:val="00552AAF"/>
    <w:rsid w:val="0055572E"/>
    <w:rsid w:val="00555EF9"/>
    <w:rsid w:val="0055709D"/>
    <w:rsid w:val="00557AC6"/>
    <w:rsid w:val="00557C94"/>
    <w:rsid w:val="00560D7E"/>
    <w:rsid w:val="00565091"/>
    <w:rsid w:val="00566761"/>
    <w:rsid w:val="00567148"/>
    <w:rsid w:val="005703E7"/>
    <w:rsid w:val="00571178"/>
    <w:rsid w:val="005725BA"/>
    <w:rsid w:val="00574170"/>
    <w:rsid w:val="005746EA"/>
    <w:rsid w:val="00576CD8"/>
    <w:rsid w:val="00580391"/>
    <w:rsid w:val="00580C1D"/>
    <w:rsid w:val="00582093"/>
    <w:rsid w:val="005823F5"/>
    <w:rsid w:val="00582557"/>
    <w:rsid w:val="00583969"/>
    <w:rsid w:val="005845F7"/>
    <w:rsid w:val="00585C63"/>
    <w:rsid w:val="005867D7"/>
    <w:rsid w:val="00586DDC"/>
    <w:rsid w:val="0059190B"/>
    <w:rsid w:val="0059235A"/>
    <w:rsid w:val="00592634"/>
    <w:rsid w:val="005934F9"/>
    <w:rsid w:val="005963E2"/>
    <w:rsid w:val="00596782"/>
    <w:rsid w:val="00596CA3"/>
    <w:rsid w:val="00597430"/>
    <w:rsid w:val="005A0A86"/>
    <w:rsid w:val="005A0BAD"/>
    <w:rsid w:val="005A102F"/>
    <w:rsid w:val="005A1AFA"/>
    <w:rsid w:val="005A2A31"/>
    <w:rsid w:val="005A5CB7"/>
    <w:rsid w:val="005A6F98"/>
    <w:rsid w:val="005A71ED"/>
    <w:rsid w:val="005B1145"/>
    <w:rsid w:val="005B23A1"/>
    <w:rsid w:val="005B2E30"/>
    <w:rsid w:val="005B302F"/>
    <w:rsid w:val="005B556A"/>
    <w:rsid w:val="005B6274"/>
    <w:rsid w:val="005B6A80"/>
    <w:rsid w:val="005B7C5A"/>
    <w:rsid w:val="005C0609"/>
    <w:rsid w:val="005C2032"/>
    <w:rsid w:val="005C265E"/>
    <w:rsid w:val="005C3538"/>
    <w:rsid w:val="005C4018"/>
    <w:rsid w:val="005C4B59"/>
    <w:rsid w:val="005D0EFF"/>
    <w:rsid w:val="005D3E6A"/>
    <w:rsid w:val="005D690D"/>
    <w:rsid w:val="005E0CE6"/>
    <w:rsid w:val="005E158C"/>
    <w:rsid w:val="005E1E08"/>
    <w:rsid w:val="005E4448"/>
    <w:rsid w:val="005E6592"/>
    <w:rsid w:val="005E70D6"/>
    <w:rsid w:val="005E7173"/>
    <w:rsid w:val="005E732C"/>
    <w:rsid w:val="005E77B6"/>
    <w:rsid w:val="005F4315"/>
    <w:rsid w:val="005F680C"/>
    <w:rsid w:val="005F6F21"/>
    <w:rsid w:val="0060339B"/>
    <w:rsid w:val="00603752"/>
    <w:rsid w:val="0060492B"/>
    <w:rsid w:val="0060709F"/>
    <w:rsid w:val="0061076E"/>
    <w:rsid w:val="006115D0"/>
    <w:rsid w:val="00613941"/>
    <w:rsid w:val="0061458C"/>
    <w:rsid w:val="006147E9"/>
    <w:rsid w:val="0061576A"/>
    <w:rsid w:val="00620939"/>
    <w:rsid w:val="00620DFB"/>
    <w:rsid w:val="00620E41"/>
    <w:rsid w:val="0062293C"/>
    <w:rsid w:val="00625CB9"/>
    <w:rsid w:val="00625F54"/>
    <w:rsid w:val="006270A6"/>
    <w:rsid w:val="006317C0"/>
    <w:rsid w:val="00632DDE"/>
    <w:rsid w:val="00633F3B"/>
    <w:rsid w:val="00634BB6"/>
    <w:rsid w:val="006351E7"/>
    <w:rsid w:val="006370F0"/>
    <w:rsid w:val="00640D66"/>
    <w:rsid w:val="00642744"/>
    <w:rsid w:val="00642E41"/>
    <w:rsid w:val="00644CC0"/>
    <w:rsid w:val="006456BC"/>
    <w:rsid w:val="0064672C"/>
    <w:rsid w:val="00647FBC"/>
    <w:rsid w:val="00650DAA"/>
    <w:rsid w:val="00652FC9"/>
    <w:rsid w:val="006533C8"/>
    <w:rsid w:val="0065416E"/>
    <w:rsid w:val="00654813"/>
    <w:rsid w:val="00654D89"/>
    <w:rsid w:val="00654D98"/>
    <w:rsid w:val="00655702"/>
    <w:rsid w:val="006569DA"/>
    <w:rsid w:val="00663415"/>
    <w:rsid w:val="006639C5"/>
    <w:rsid w:val="00663F41"/>
    <w:rsid w:val="0066754A"/>
    <w:rsid w:val="00667BCA"/>
    <w:rsid w:val="00667DEF"/>
    <w:rsid w:val="00670DAB"/>
    <w:rsid w:val="006723BD"/>
    <w:rsid w:val="00673405"/>
    <w:rsid w:val="00673A32"/>
    <w:rsid w:val="0067405A"/>
    <w:rsid w:val="0067418F"/>
    <w:rsid w:val="00675906"/>
    <w:rsid w:val="00675A70"/>
    <w:rsid w:val="00675BB4"/>
    <w:rsid w:val="006767B9"/>
    <w:rsid w:val="006776EF"/>
    <w:rsid w:val="00677EB5"/>
    <w:rsid w:val="006809B3"/>
    <w:rsid w:val="00682BD7"/>
    <w:rsid w:val="00683D1A"/>
    <w:rsid w:val="006851CC"/>
    <w:rsid w:val="00686E7A"/>
    <w:rsid w:val="00690734"/>
    <w:rsid w:val="00694E2D"/>
    <w:rsid w:val="006979C3"/>
    <w:rsid w:val="006A09E3"/>
    <w:rsid w:val="006A0F59"/>
    <w:rsid w:val="006A4128"/>
    <w:rsid w:val="006A4EA9"/>
    <w:rsid w:val="006A562C"/>
    <w:rsid w:val="006A576D"/>
    <w:rsid w:val="006B0A9A"/>
    <w:rsid w:val="006B29AE"/>
    <w:rsid w:val="006B3AA4"/>
    <w:rsid w:val="006B423E"/>
    <w:rsid w:val="006B4973"/>
    <w:rsid w:val="006B4F9E"/>
    <w:rsid w:val="006B5392"/>
    <w:rsid w:val="006B7913"/>
    <w:rsid w:val="006B79E4"/>
    <w:rsid w:val="006C2072"/>
    <w:rsid w:val="006D2C12"/>
    <w:rsid w:val="006D47F8"/>
    <w:rsid w:val="006D5184"/>
    <w:rsid w:val="006D70E2"/>
    <w:rsid w:val="006E1043"/>
    <w:rsid w:val="006E2329"/>
    <w:rsid w:val="006E3D9E"/>
    <w:rsid w:val="006E40A3"/>
    <w:rsid w:val="006E782B"/>
    <w:rsid w:val="006F167B"/>
    <w:rsid w:val="006F2251"/>
    <w:rsid w:val="006F34B4"/>
    <w:rsid w:val="006F4A73"/>
    <w:rsid w:val="006F55D1"/>
    <w:rsid w:val="006F5EEB"/>
    <w:rsid w:val="006F6D76"/>
    <w:rsid w:val="00700E7C"/>
    <w:rsid w:val="00701187"/>
    <w:rsid w:val="0070127C"/>
    <w:rsid w:val="00702479"/>
    <w:rsid w:val="007025C2"/>
    <w:rsid w:val="0070349F"/>
    <w:rsid w:val="00705C5F"/>
    <w:rsid w:val="00706E3A"/>
    <w:rsid w:val="0071159A"/>
    <w:rsid w:val="00714153"/>
    <w:rsid w:val="007147E7"/>
    <w:rsid w:val="00714E3C"/>
    <w:rsid w:val="0071545C"/>
    <w:rsid w:val="00716ADD"/>
    <w:rsid w:val="00716B76"/>
    <w:rsid w:val="00721D26"/>
    <w:rsid w:val="00722CEC"/>
    <w:rsid w:val="00724052"/>
    <w:rsid w:val="00725038"/>
    <w:rsid w:val="007258CD"/>
    <w:rsid w:val="007276AC"/>
    <w:rsid w:val="0072786D"/>
    <w:rsid w:val="00730688"/>
    <w:rsid w:val="00731177"/>
    <w:rsid w:val="007314F1"/>
    <w:rsid w:val="00731842"/>
    <w:rsid w:val="007323DB"/>
    <w:rsid w:val="00732A84"/>
    <w:rsid w:val="00733C15"/>
    <w:rsid w:val="00734812"/>
    <w:rsid w:val="0073482B"/>
    <w:rsid w:val="00734F78"/>
    <w:rsid w:val="00735E33"/>
    <w:rsid w:val="00737E4D"/>
    <w:rsid w:val="00741475"/>
    <w:rsid w:val="007418B7"/>
    <w:rsid w:val="00744EE0"/>
    <w:rsid w:val="00745F10"/>
    <w:rsid w:val="0074755A"/>
    <w:rsid w:val="00747935"/>
    <w:rsid w:val="00751113"/>
    <w:rsid w:val="007524E2"/>
    <w:rsid w:val="00752D3C"/>
    <w:rsid w:val="007531F7"/>
    <w:rsid w:val="007538BB"/>
    <w:rsid w:val="007546B7"/>
    <w:rsid w:val="0075479F"/>
    <w:rsid w:val="007563BB"/>
    <w:rsid w:val="00757AFD"/>
    <w:rsid w:val="00757F9F"/>
    <w:rsid w:val="007602C1"/>
    <w:rsid w:val="00760530"/>
    <w:rsid w:val="00763EAD"/>
    <w:rsid w:val="0076630F"/>
    <w:rsid w:val="00771E13"/>
    <w:rsid w:val="00774A9C"/>
    <w:rsid w:val="00775194"/>
    <w:rsid w:val="0077783C"/>
    <w:rsid w:val="00780933"/>
    <w:rsid w:val="0078251B"/>
    <w:rsid w:val="007829F8"/>
    <w:rsid w:val="00784035"/>
    <w:rsid w:val="007843E5"/>
    <w:rsid w:val="007854ED"/>
    <w:rsid w:val="00785D57"/>
    <w:rsid w:val="007861C0"/>
    <w:rsid w:val="00786427"/>
    <w:rsid w:val="00786BF9"/>
    <w:rsid w:val="00787F03"/>
    <w:rsid w:val="007939D8"/>
    <w:rsid w:val="00793EA0"/>
    <w:rsid w:val="00796D0F"/>
    <w:rsid w:val="00796F1C"/>
    <w:rsid w:val="007A135C"/>
    <w:rsid w:val="007A1557"/>
    <w:rsid w:val="007A30B7"/>
    <w:rsid w:val="007A5FBF"/>
    <w:rsid w:val="007B047D"/>
    <w:rsid w:val="007B10BA"/>
    <w:rsid w:val="007B3665"/>
    <w:rsid w:val="007B3F4A"/>
    <w:rsid w:val="007B5613"/>
    <w:rsid w:val="007B5C9B"/>
    <w:rsid w:val="007B718B"/>
    <w:rsid w:val="007C327D"/>
    <w:rsid w:val="007C331D"/>
    <w:rsid w:val="007C54EA"/>
    <w:rsid w:val="007C58EA"/>
    <w:rsid w:val="007C7497"/>
    <w:rsid w:val="007D2C09"/>
    <w:rsid w:val="007D3F0E"/>
    <w:rsid w:val="007D54FC"/>
    <w:rsid w:val="007E00EC"/>
    <w:rsid w:val="007E1B7C"/>
    <w:rsid w:val="007E1BF0"/>
    <w:rsid w:val="007E38F9"/>
    <w:rsid w:val="007E5CA2"/>
    <w:rsid w:val="007E5D35"/>
    <w:rsid w:val="007F2345"/>
    <w:rsid w:val="007F266E"/>
    <w:rsid w:val="007F5893"/>
    <w:rsid w:val="007F5F84"/>
    <w:rsid w:val="007F639D"/>
    <w:rsid w:val="007F6630"/>
    <w:rsid w:val="007F7CB9"/>
    <w:rsid w:val="0080604E"/>
    <w:rsid w:val="00807C3E"/>
    <w:rsid w:val="00810007"/>
    <w:rsid w:val="00810A51"/>
    <w:rsid w:val="008125C9"/>
    <w:rsid w:val="0081390E"/>
    <w:rsid w:val="008142BE"/>
    <w:rsid w:val="00815D95"/>
    <w:rsid w:val="00816A62"/>
    <w:rsid w:val="008174C2"/>
    <w:rsid w:val="00823478"/>
    <w:rsid w:val="00823C61"/>
    <w:rsid w:val="00826381"/>
    <w:rsid w:val="00826663"/>
    <w:rsid w:val="00827EED"/>
    <w:rsid w:val="00833D5C"/>
    <w:rsid w:val="008356BB"/>
    <w:rsid w:val="00837361"/>
    <w:rsid w:val="008417F7"/>
    <w:rsid w:val="00843D52"/>
    <w:rsid w:val="008445E2"/>
    <w:rsid w:val="008446D6"/>
    <w:rsid w:val="00844AA6"/>
    <w:rsid w:val="00844AB4"/>
    <w:rsid w:val="00844B9B"/>
    <w:rsid w:val="00845562"/>
    <w:rsid w:val="0084611E"/>
    <w:rsid w:val="00847903"/>
    <w:rsid w:val="00847975"/>
    <w:rsid w:val="008501AA"/>
    <w:rsid w:val="00850BB3"/>
    <w:rsid w:val="008510AB"/>
    <w:rsid w:val="0085179F"/>
    <w:rsid w:val="00852371"/>
    <w:rsid w:val="00852855"/>
    <w:rsid w:val="00854622"/>
    <w:rsid w:val="00854AA2"/>
    <w:rsid w:val="00854DC7"/>
    <w:rsid w:val="00854DDA"/>
    <w:rsid w:val="008556AA"/>
    <w:rsid w:val="00860456"/>
    <w:rsid w:val="008607B0"/>
    <w:rsid w:val="00861D4E"/>
    <w:rsid w:val="008651DA"/>
    <w:rsid w:val="00870116"/>
    <w:rsid w:val="008741BF"/>
    <w:rsid w:val="00875447"/>
    <w:rsid w:val="00875E0C"/>
    <w:rsid w:val="00877154"/>
    <w:rsid w:val="008804BE"/>
    <w:rsid w:val="00880DB0"/>
    <w:rsid w:val="00882FA2"/>
    <w:rsid w:val="008848F9"/>
    <w:rsid w:val="00884C1B"/>
    <w:rsid w:val="008860E1"/>
    <w:rsid w:val="008862FB"/>
    <w:rsid w:val="00894F2A"/>
    <w:rsid w:val="008A0387"/>
    <w:rsid w:val="008A0519"/>
    <w:rsid w:val="008A14AA"/>
    <w:rsid w:val="008A3112"/>
    <w:rsid w:val="008A6606"/>
    <w:rsid w:val="008B0428"/>
    <w:rsid w:val="008B1346"/>
    <w:rsid w:val="008B13D1"/>
    <w:rsid w:val="008B6A99"/>
    <w:rsid w:val="008B6F7F"/>
    <w:rsid w:val="008B733C"/>
    <w:rsid w:val="008C2F03"/>
    <w:rsid w:val="008C5C0F"/>
    <w:rsid w:val="008C5F55"/>
    <w:rsid w:val="008C673E"/>
    <w:rsid w:val="008C70F7"/>
    <w:rsid w:val="008C7244"/>
    <w:rsid w:val="008D3A1F"/>
    <w:rsid w:val="008D55EF"/>
    <w:rsid w:val="008D5EAE"/>
    <w:rsid w:val="008D68E8"/>
    <w:rsid w:val="008D6C5F"/>
    <w:rsid w:val="008E0490"/>
    <w:rsid w:val="008E049A"/>
    <w:rsid w:val="008E15E0"/>
    <w:rsid w:val="008E2B9D"/>
    <w:rsid w:val="008E36A5"/>
    <w:rsid w:val="008E3F55"/>
    <w:rsid w:val="008E7400"/>
    <w:rsid w:val="008E750B"/>
    <w:rsid w:val="008E7EC9"/>
    <w:rsid w:val="008F10C1"/>
    <w:rsid w:val="008F1AC8"/>
    <w:rsid w:val="008F73DE"/>
    <w:rsid w:val="00900810"/>
    <w:rsid w:val="00900ED8"/>
    <w:rsid w:val="009010F7"/>
    <w:rsid w:val="0090325D"/>
    <w:rsid w:val="00904BA0"/>
    <w:rsid w:val="0090509D"/>
    <w:rsid w:val="00905EBC"/>
    <w:rsid w:val="00906759"/>
    <w:rsid w:val="00907D06"/>
    <w:rsid w:val="00913E93"/>
    <w:rsid w:val="00921686"/>
    <w:rsid w:val="00921E88"/>
    <w:rsid w:val="0092364E"/>
    <w:rsid w:val="00925415"/>
    <w:rsid w:val="009259E7"/>
    <w:rsid w:val="00926425"/>
    <w:rsid w:val="009306A4"/>
    <w:rsid w:val="009319D7"/>
    <w:rsid w:val="00933DED"/>
    <w:rsid w:val="00934114"/>
    <w:rsid w:val="00936E2A"/>
    <w:rsid w:val="0094007B"/>
    <w:rsid w:val="00941373"/>
    <w:rsid w:val="009415CA"/>
    <w:rsid w:val="00943C93"/>
    <w:rsid w:val="00947A4B"/>
    <w:rsid w:val="0095059B"/>
    <w:rsid w:val="00950862"/>
    <w:rsid w:val="009548CC"/>
    <w:rsid w:val="00956B4C"/>
    <w:rsid w:val="00957D43"/>
    <w:rsid w:val="00960130"/>
    <w:rsid w:val="00961591"/>
    <w:rsid w:val="009623B2"/>
    <w:rsid w:val="00963087"/>
    <w:rsid w:val="009652D5"/>
    <w:rsid w:val="00966A78"/>
    <w:rsid w:val="00966BED"/>
    <w:rsid w:val="009679B9"/>
    <w:rsid w:val="00970F09"/>
    <w:rsid w:val="00972BC5"/>
    <w:rsid w:val="00972D50"/>
    <w:rsid w:val="009738E7"/>
    <w:rsid w:val="00977D7F"/>
    <w:rsid w:val="00981C42"/>
    <w:rsid w:val="00986513"/>
    <w:rsid w:val="00986E82"/>
    <w:rsid w:val="009918B8"/>
    <w:rsid w:val="009927B4"/>
    <w:rsid w:val="00992D4F"/>
    <w:rsid w:val="0099699C"/>
    <w:rsid w:val="00996E06"/>
    <w:rsid w:val="009A12D7"/>
    <w:rsid w:val="009A17D6"/>
    <w:rsid w:val="009A4968"/>
    <w:rsid w:val="009A70DB"/>
    <w:rsid w:val="009A749C"/>
    <w:rsid w:val="009B0293"/>
    <w:rsid w:val="009B186B"/>
    <w:rsid w:val="009B2165"/>
    <w:rsid w:val="009B5CB7"/>
    <w:rsid w:val="009C01F5"/>
    <w:rsid w:val="009C4949"/>
    <w:rsid w:val="009C61CC"/>
    <w:rsid w:val="009C6511"/>
    <w:rsid w:val="009C69C4"/>
    <w:rsid w:val="009C769F"/>
    <w:rsid w:val="009D5C48"/>
    <w:rsid w:val="009E2DCF"/>
    <w:rsid w:val="009E6FC4"/>
    <w:rsid w:val="009E79C9"/>
    <w:rsid w:val="009F09E7"/>
    <w:rsid w:val="009F3505"/>
    <w:rsid w:val="009F3AF7"/>
    <w:rsid w:val="009F5FCC"/>
    <w:rsid w:val="009F60EC"/>
    <w:rsid w:val="009F61CA"/>
    <w:rsid w:val="00A0027B"/>
    <w:rsid w:val="00A0170A"/>
    <w:rsid w:val="00A04107"/>
    <w:rsid w:val="00A04E7A"/>
    <w:rsid w:val="00A0516C"/>
    <w:rsid w:val="00A054E2"/>
    <w:rsid w:val="00A066EE"/>
    <w:rsid w:val="00A07F10"/>
    <w:rsid w:val="00A1080C"/>
    <w:rsid w:val="00A10A7B"/>
    <w:rsid w:val="00A11DBB"/>
    <w:rsid w:val="00A1435F"/>
    <w:rsid w:val="00A1585F"/>
    <w:rsid w:val="00A15ABE"/>
    <w:rsid w:val="00A1611E"/>
    <w:rsid w:val="00A1671A"/>
    <w:rsid w:val="00A20396"/>
    <w:rsid w:val="00A21113"/>
    <w:rsid w:val="00A214C6"/>
    <w:rsid w:val="00A218BF"/>
    <w:rsid w:val="00A230A8"/>
    <w:rsid w:val="00A233C6"/>
    <w:rsid w:val="00A2504E"/>
    <w:rsid w:val="00A260B0"/>
    <w:rsid w:val="00A26C26"/>
    <w:rsid w:val="00A27573"/>
    <w:rsid w:val="00A27A95"/>
    <w:rsid w:val="00A27D71"/>
    <w:rsid w:val="00A300C3"/>
    <w:rsid w:val="00A33B32"/>
    <w:rsid w:val="00A34013"/>
    <w:rsid w:val="00A350A2"/>
    <w:rsid w:val="00A434B5"/>
    <w:rsid w:val="00A447E8"/>
    <w:rsid w:val="00A461CA"/>
    <w:rsid w:val="00A468D6"/>
    <w:rsid w:val="00A5219B"/>
    <w:rsid w:val="00A53CDB"/>
    <w:rsid w:val="00A53FC6"/>
    <w:rsid w:val="00A54AFC"/>
    <w:rsid w:val="00A55E8B"/>
    <w:rsid w:val="00A574C8"/>
    <w:rsid w:val="00A62066"/>
    <w:rsid w:val="00A62EAA"/>
    <w:rsid w:val="00A668B0"/>
    <w:rsid w:val="00A7103E"/>
    <w:rsid w:val="00A7174F"/>
    <w:rsid w:val="00A71A27"/>
    <w:rsid w:val="00A73342"/>
    <w:rsid w:val="00A736EC"/>
    <w:rsid w:val="00A748F2"/>
    <w:rsid w:val="00A748FA"/>
    <w:rsid w:val="00A76C4A"/>
    <w:rsid w:val="00A773B0"/>
    <w:rsid w:val="00A81A49"/>
    <w:rsid w:val="00A8290D"/>
    <w:rsid w:val="00A84A1F"/>
    <w:rsid w:val="00A84E49"/>
    <w:rsid w:val="00A85385"/>
    <w:rsid w:val="00A862BD"/>
    <w:rsid w:val="00A86421"/>
    <w:rsid w:val="00A872D1"/>
    <w:rsid w:val="00A87E00"/>
    <w:rsid w:val="00A87E42"/>
    <w:rsid w:val="00A90ED4"/>
    <w:rsid w:val="00A9380E"/>
    <w:rsid w:val="00A94AD6"/>
    <w:rsid w:val="00AA2E83"/>
    <w:rsid w:val="00AA3BF8"/>
    <w:rsid w:val="00AA4CCE"/>
    <w:rsid w:val="00AA523F"/>
    <w:rsid w:val="00AB16F9"/>
    <w:rsid w:val="00AB1FD9"/>
    <w:rsid w:val="00AB2854"/>
    <w:rsid w:val="00AB3D56"/>
    <w:rsid w:val="00AB6D13"/>
    <w:rsid w:val="00AB7601"/>
    <w:rsid w:val="00AC0D7B"/>
    <w:rsid w:val="00AC2541"/>
    <w:rsid w:val="00AC29B4"/>
    <w:rsid w:val="00AC2C54"/>
    <w:rsid w:val="00AC4663"/>
    <w:rsid w:val="00AD10AF"/>
    <w:rsid w:val="00AD1103"/>
    <w:rsid w:val="00AD5ACF"/>
    <w:rsid w:val="00AD7587"/>
    <w:rsid w:val="00AD7794"/>
    <w:rsid w:val="00AE5D44"/>
    <w:rsid w:val="00AE6195"/>
    <w:rsid w:val="00AE6A13"/>
    <w:rsid w:val="00AE7030"/>
    <w:rsid w:val="00AE7BA0"/>
    <w:rsid w:val="00AF07B3"/>
    <w:rsid w:val="00AF07F9"/>
    <w:rsid w:val="00AF1EFB"/>
    <w:rsid w:val="00AF2FB4"/>
    <w:rsid w:val="00AF2FC2"/>
    <w:rsid w:val="00AF496B"/>
    <w:rsid w:val="00AF4D61"/>
    <w:rsid w:val="00AF5768"/>
    <w:rsid w:val="00AF5A64"/>
    <w:rsid w:val="00B01E1D"/>
    <w:rsid w:val="00B035FC"/>
    <w:rsid w:val="00B04FD2"/>
    <w:rsid w:val="00B057E6"/>
    <w:rsid w:val="00B05B71"/>
    <w:rsid w:val="00B0614F"/>
    <w:rsid w:val="00B0797C"/>
    <w:rsid w:val="00B0799D"/>
    <w:rsid w:val="00B102DB"/>
    <w:rsid w:val="00B10386"/>
    <w:rsid w:val="00B11415"/>
    <w:rsid w:val="00B12A53"/>
    <w:rsid w:val="00B12BA4"/>
    <w:rsid w:val="00B1361B"/>
    <w:rsid w:val="00B15D40"/>
    <w:rsid w:val="00B17E40"/>
    <w:rsid w:val="00B20E86"/>
    <w:rsid w:val="00B23D97"/>
    <w:rsid w:val="00B24BB9"/>
    <w:rsid w:val="00B267F0"/>
    <w:rsid w:val="00B26D2A"/>
    <w:rsid w:val="00B27400"/>
    <w:rsid w:val="00B302AE"/>
    <w:rsid w:val="00B31C3E"/>
    <w:rsid w:val="00B32CB0"/>
    <w:rsid w:val="00B365AB"/>
    <w:rsid w:val="00B40ECE"/>
    <w:rsid w:val="00B41DE6"/>
    <w:rsid w:val="00B46C56"/>
    <w:rsid w:val="00B51115"/>
    <w:rsid w:val="00B51314"/>
    <w:rsid w:val="00B54981"/>
    <w:rsid w:val="00B558CD"/>
    <w:rsid w:val="00B57A48"/>
    <w:rsid w:val="00B57DBF"/>
    <w:rsid w:val="00B612EB"/>
    <w:rsid w:val="00B648FB"/>
    <w:rsid w:val="00B64DA6"/>
    <w:rsid w:val="00B653EC"/>
    <w:rsid w:val="00B7131A"/>
    <w:rsid w:val="00B71E0B"/>
    <w:rsid w:val="00B751F9"/>
    <w:rsid w:val="00B75707"/>
    <w:rsid w:val="00B765C5"/>
    <w:rsid w:val="00B77D3C"/>
    <w:rsid w:val="00B82868"/>
    <w:rsid w:val="00B84848"/>
    <w:rsid w:val="00B874D2"/>
    <w:rsid w:val="00B903BD"/>
    <w:rsid w:val="00B91081"/>
    <w:rsid w:val="00B91C41"/>
    <w:rsid w:val="00B93E34"/>
    <w:rsid w:val="00B944C4"/>
    <w:rsid w:val="00B96081"/>
    <w:rsid w:val="00B97257"/>
    <w:rsid w:val="00B97835"/>
    <w:rsid w:val="00BA03D3"/>
    <w:rsid w:val="00BA27A2"/>
    <w:rsid w:val="00BA2AC7"/>
    <w:rsid w:val="00BA3AFE"/>
    <w:rsid w:val="00BA3FEA"/>
    <w:rsid w:val="00BA4E37"/>
    <w:rsid w:val="00BA724A"/>
    <w:rsid w:val="00BB1297"/>
    <w:rsid w:val="00BB2D35"/>
    <w:rsid w:val="00BB3938"/>
    <w:rsid w:val="00BB46EF"/>
    <w:rsid w:val="00BB4A20"/>
    <w:rsid w:val="00BB4E83"/>
    <w:rsid w:val="00BB5051"/>
    <w:rsid w:val="00BB5D8F"/>
    <w:rsid w:val="00BB6C1D"/>
    <w:rsid w:val="00BB753C"/>
    <w:rsid w:val="00BC143E"/>
    <w:rsid w:val="00BC1D56"/>
    <w:rsid w:val="00BC2957"/>
    <w:rsid w:val="00BC2BB4"/>
    <w:rsid w:val="00BC2CF3"/>
    <w:rsid w:val="00BC6283"/>
    <w:rsid w:val="00BD0EA6"/>
    <w:rsid w:val="00BD153B"/>
    <w:rsid w:val="00BD1C2E"/>
    <w:rsid w:val="00BD28EA"/>
    <w:rsid w:val="00BD29AE"/>
    <w:rsid w:val="00BD2E38"/>
    <w:rsid w:val="00BD6826"/>
    <w:rsid w:val="00BE3A31"/>
    <w:rsid w:val="00BE5201"/>
    <w:rsid w:val="00BE69AE"/>
    <w:rsid w:val="00BE701F"/>
    <w:rsid w:val="00BE7D72"/>
    <w:rsid w:val="00BE7EC2"/>
    <w:rsid w:val="00BF0B73"/>
    <w:rsid w:val="00BF0C26"/>
    <w:rsid w:val="00BF1159"/>
    <w:rsid w:val="00BF13EB"/>
    <w:rsid w:val="00BF25A2"/>
    <w:rsid w:val="00BF45AF"/>
    <w:rsid w:val="00BF4E8E"/>
    <w:rsid w:val="00C04BA5"/>
    <w:rsid w:val="00C04CE9"/>
    <w:rsid w:val="00C05301"/>
    <w:rsid w:val="00C05540"/>
    <w:rsid w:val="00C055A6"/>
    <w:rsid w:val="00C0638F"/>
    <w:rsid w:val="00C066E3"/>
    <w:rsid w:val="00C13164"/>
    <w:rsid w:val="00C139C2"/>
    <w:rsid w:val="00C13FBE"/>
    <w:rsid w:val="00C152D8"/>
    <w:rsid w:val="00C16E7C"/>
    <w:rsid w:val="00C20F51"/>
    <w:rsid w:val="00C23901"/>
    <w:rsid w:val="00C23F06"/>
    <w:rsid w:val="00C32802"/>
    <w:rsid w:val="00C3324D"/>
    <w:rsid w:val="00C360D5"/>
    <w:rsid w:val="00C36497"/>
    <w:rsid w:val="00C36D7A"/>
    <w:rsid w:val="00C370DE"/>
    <w:rsid w:val="00C42548"/>
    <w:rsid w:val="00C42756"/>
    <w:rsid w:val="00C4342F"/>
    <w:rsid w:val="00C449DD"/>
    <w:rsid w:val="00C46C82"/>
    <w:rsid w:val="00C52F96"/>
    <w:rsid w:val="00C54E5A"/>
    <w:rsid w:val="00C55164"/>
    <w:rsid w:val="00C5653F"/>
    <w:rsid w:val="00C60401"/>
    <w:rsid w:val="00C655E7"/>
    <w:rsid w:val="00C6725F"/>
    <w:rsid w:val="00C75284"/>
    <w:rsid w:val="00C758E9"/>
    <w:rsid w:val="00C76418"/>
    <w:rsid w:val="00C7671E"/>
    <w:rsid w:val="00C8495D"/>
    <w:rsid w:val="00C84FA8"/>
    <w:rsid w:val="00C85083"/>
    <w:rsid w:val="00C859E6"/>
    <w:rsid w:val="00C86735"/>
    <w:rsid w:val="00C87140"/>
    <w:rsid w:val="00C918AF"/>
    <w:rsid w:val="00C92890"/>
    <w:rsid w:val="00C94BF6"/>
    <w:rsid w:val="00C94CCF"/>
    <w:rsid w:val="00C968D8"/>
    <w:rsid w:val="00C97063"/>
    <w:rsid w:val="00CA076D"/>
    <w:rsid w:val="00CA0F20"/>
    <w:rsid w:val="00CA0F90"/>
    <w:rsid w:val="00CA29BC"/>
    <w:rsid w:val="00CA3A14"/>
    <w:rsid w:val="00CA4671"/>
    <w:rsid w:val="00CA6F80"/>
    <w:rsid w:val="00CB05E9"/>
    <w:rsid w:val="00CB202B"/>
    <w:rsid w:val="00CB26AD"/>
    <w:rsid w:val="00CB6640"/>
    <w:rsid w:val="00CB6DAC"/>
    <w:rsid w:val="00CB79F2"/>
    <w:rsid w:val="00CC059E"/>
    <w:rsid w:val="00CC06D7"/>
    <w:rsid w:val="00CC4554"/>
    <w:rsid w:val="00CC46EE"/>
    <w:rsid w:val="00CC5B02"/>
    <w:rsid w:val="00CC5EF6"/>
    <w:rsid w:val="00CC742F"/>
    <w:rsid w:val="00CD2807"/>
    <w:rsid w:val="00CD2D40"/>
    <w:rsid w:val="00CD349B"/>
    <w:rsid w:val="00CD5BB9"/>
    <w:rsid w:val="00CD73D3"/>
    <w:rsid w:val="00CD76FB"/>
    <w:rsid w:val="00CE065B"/>
    <w:rsid w:val="00CE1167"/>
    <w:rsid w:val="00CE1D72"/>
    <w:rsid w:val="00CE3123"/>
    <w:rsid w:val="00CE456E"/>
    <w:rsid w:val="00CE5028"/>
    <w:rsid w:val="00CE57D2"/>
    <w:rsid w:val="00CE6F02"/>
    <w:rsid w:val="00CE74B4"/>
    <w:rsid w:val="00CE7C4E"/>
    <w:rsid w:val="00CF029A"/>
    <w:rsid w:val="00CF14D4"/>
    <w:rsid w:val="00CF173E"/>
    <w:rsid w:val="00CF3E0E"/>
    <w:rsid w:val="00CF45A1"/>
    <w:rsid w:val="00CF4C4E"/>
    <w:rsid w:val="00CF5334"/>
    <w:rsid w:val="00CF7816"/>
    <w:rsid w:val="00CF7DD8"/>
    <w:rsid w:val="00D02B45"/>
    <w:rsid w:val="00D02F31"/>
    <w:rsid w:val="00D0444B"/>
    <w:rsid w:val="00D04B0E"/>
    <w:rsid w:val="00D052C6"/>
    <w:rsid w:val="00D063DE"/>
    <w:rsid w:val="00D07224"/>
    <w:rsid w:val="00D106C5"/>
    <w:rsid w:val="00D10E6A"/>
    <w:rsid w:val="00D11254"/>
    <w:rsid w:val="00D11ABE"/>
    <w:rsid w:val="00D1415B"/>
    <w:rsid w:val="00D14CF2"/>
    <w:rsid w:val="00D16941"/>
    <w:rsid w:val="00D1727E"/>
    <w:rsid w:val="00D20286"/>
    <w:rsid w:val="00D20E6E"/>
    <w:rsid w:val="00D24800"/>
    <w:rsid w:val="00D25606"/>
    <w:rsid w:val="00D257A2"/>
    <w:rsid w:val="00D2590B"/>
    <w:rsid w:val="00D25C8B"/>
    <w:rsid w:val="00D27309"/>
    <w:rsid w:val="00D27C9F"/>
    <w:rsid w:val="00D347BC"/>
    <w:rsid w:val="00D377B1"/>
    <w:rsid w:val="00D4640D"/>
    <w:rsid w:val="00D50DE3"/>
    <w:rsid w:val="00D51262"/>
    <w:rsid w:val="00D5351B"/>
    <w:rsid w:val="00D538EB"/>
    <w:rsid w:val="00D5470A"/>
    <w:rsid w:val="00D602E7"/>
    <w:rsid w:val="00D60C05"/>
    <w:rsid w:val="00D668AC"/>
    <w:rsid w:val="00D70D8E"/>
    <w:rsid w:val="00D74CD4"/>
    <w:rsid w:val="00D74D99"/>
    <w:rsid w:val="00D7560A"/>
    <w:rsid w:val="00D82062"/>
    <w:rsid w:val="00D828DA"/>
    <w:rsid w:val="00D82EBF"/>
    <w:rsid w:val="00D840B7"/>
    <w:rsid w:val="00D85B5B"/>
    <w:rsid w:val="00D91204"/>
    <w:rsid w:val="00D95F7F"/>
    <w:rsid w:val="00D969BB"/>
    <w:rsid w:val="00D97FD3"/>
    <w:rsid w:val="00DA3192"/>
    <w:rsid w:val="00DA52C5"/>
    <w:rsid w:val="00DA6496"/>
    <w:rsid w:val="00DB01F3"/>
    <w:rsid w:val="00DB0459"/>
    <w:rsid w:val="00DB277C"/>
    <w:rsid w:val="00DB52EE"/>
    <w:rsid w:val="00DC3F33"/>
    <w:rsid w:val="00DC47F4"/>
    <w:rsid w:val="00DC4D55"/>
    <w:rsid w:val="00DC596E"/>
    <w:rsid w:val="00DC6669"/>
    <w:rsid w:val="00DC7780"/>
    <w:rsid w:val="00DD1231"/>
    <w:rsid w:val="00DD123B"/>
    <w:rsid w:val="00DD41FF"/>
    <w:rsid w:val="00DD6248"/>
    <w:rsid w:val="00DD66B8"/>
    <w:rsid w:val="00DE354F"/>
    <w:rsid w:val="00DE38D1"/>
    <w:rsid w:val="00DE4279"/>
    <w:rsid w:val="00DE4AB1"/>
    <w:rsid w:val="00DE638A"/>
    <w:rsid w:val="00DE6864"/>
    <w:rsid w:val="00DF2DEB"/>
    <w:rsid w:val="00DF3595"/>
    <w:rsid w:val="00DF3753"/>
    <w:rsid w:val="00DF3961"/>
    <w:rsid w:val="00DF3BE5"/>
    <w:rsid w:val="00DF437C"/>
    <w:rsid w:val="00DF5331"/>
    <w:rsid w:val="00DF7611"/>
    <w:rsid w:val="00E0234E"/>
    <w:rsid w:val="00E04025"/>
    <w:rsid w:val="00E057FD"/>
    <w:rsid w:val="00E10D8E"/>
    <w:rsid w:val="00E12AB2"/>
    <w:rsid w:val="00E139E7"/>
    <w:rsid w:val="00E16C9C"/>
    <w:rsid w:val="00E20300"/>
    <w:rsid w:val="00E22585"/>
    <w:rsid w:val="00E22A7C"/>
    <w:rsid w:val="00E2526C"/>
    <w:rsid w:val="00E26203"/>
    <w:rsid w:val="00E3285C"/>
    <w:rsid w:val="00E341CC"/>
    <w:rsid w:val="00E365BF"/>
    <w:rsid w:val="00E36AB3"/>
    <w:rsid w:val="00E400E8"/>
    <w:rsid w:val="00E4106E"/>
    <w:rsid w:val="00E41573"/>
    <w:rsid w:val="00E41A63"/>
    <w:rsid w:val="00E42521"/>
    <w:rsid w:val="00E439E8"/>
    <w:rsid w:val="00E47490"/>
    <w:rsid w:val="00E47E66"/>
    <w:rsid w:val="00E5221C"/>
    <w:rsid w:val="00E5371E"/>
    <w:rsid w:val="00E53A38"/>
    <w:rsid w:val="00E54FB2"/>
    <w:rsid w:val="00E5647A"/>
    <w:rsid w:val="00E62577"/>
    <w:rsid w:val="00E637FB"/>
    <w:rsid w:val="00E638C1"/>
    <w:rsid w:val="00E64E9D"/>
    <w:rsid w:val="00E653B5"/>
    <w:rsid w:val="00E6706F"/>
    <w:rsid w:val="00E67658"/>
    <w:rsid w:val="00E67B3C"/>
    <w:rsid w:val="00E75E1D"/>
    <w:rsid w:val="00E81DAE"/>
    <w:rsid w:val="00E829CD"/>
    <w:rsid w:val="00E841B9"/>
    <w:rsid w:val="00E84492"/>
    <w:rsid w:val="00E85E6F"/>
    <w:rsid w:val="00E861B1"/>
    <w:rsid w:val="00E86600"/>
    <w:rsid w:val="00E876A7"/>
    <w:rsid w:val="00E90987"/>
    <w:rsid w:val="00E9149B"/>
    <w:rsid w:val="00E9281F"/>
    <w:rsid w:val="00E92D50"/>
    <w:rsid w:val="00E93B62"/>
    <w:rsid w:val="00E94127"/>
    <w:rsid w:val="00E9533D"/>
    <w:rsid w:val="00E953ED"/>
    <w:rsid w:val="00E9668C"/>
    <w:rsid w:val="00E9756F"/>
    <w:rsid w:val="00E97B60"/>
    <w:rsid w:val="00EA16A0"/>
    <w:rsid w:val="00EA381D"/>
    <w:rsid w:val="00EA7995"/>
    <w:rsid w:val="00EB025D"/>
    <w:rsid w:val="00EB55B1"/>
    <w:rsid w:val="00EB5FAF"/>
    <w:rsid w:val="00EC0DD6"/>
    <w:rsid w:val="00EC31CB"/>
    <w:rsid w:val="00EC5890"/>
    <w:rsid w:val="00EC6078"/>
    <w:rsid w:val="00EC6413"/>
    <w:rsid w:val="00EC7483"/>
    <w:rsid w:val="00ED23F0"/>
    <w:rsid w:val="00EE2ED5"/>
    <w:rsid w:val="00EE434E"/>
    <w:rsid w:val="00EE4874"/>
    <w:rsid w:val="00EF0F02"/>
    <w:rsid w:val="00EF5B1C"/>
    <w:rsid w:val="00EF6CE4"/>
    <w:rsid w:val="00EF7C11"/>
    <w:rsid w:val="00F02BA6"/>
    <w:rsid w:val="00F036B7"/>
    <w:rsid w:val="00F050D1"/>
    <w:rsid w:val="00F06BDA"/>
    <w:rsid w:val="00F07DF7"/>
    <w:rsid w:val="00F133EA"/>
    <w:rsid w:val="00F138EA"/>
    <w:rsid w:val="00F20893"/>
    <w:rsid w:val="00F20AE6"/>
    <w:rsid w:val="00F220FC"/>
    <w:rsid w:val="00F23704"/>
    <w:rsid w:val="00F26E2C"/>
    <w:rsid w:val="00F27E13"/>
    <w:rsid w:val="00F30EEC"/>
    <w:rsid w:val="00F30F9C"/>
    <w:rsid w:val="00F31C3D"/>
    <w:rsid w:val="00F34D8C"/>
    <w:rsid w:val="00F34EE0"/>
    <w:rsid w:val="00F3654D"/>
    <w:rsid w:val="00F402DE"/>
    <w:rsid w:val="00F41BD0"/>
    <w:rsid w:val="00F435A8"/>
    <w:rsid w:val="00F438DE"/>
    <w:rsid w:val="00F446A2"/>
    <w:rsid w:val="00F44CA0"/>
    <w:rsid w:val="00F44CBB"/>
    <w:rsid w:val="00F45889"/>
    <w:rsid w:val="00F4600F"/>
    <w:rsid w:val="00F522AD"/>
    <w:rsid w:val="00F535C3"/>
    <w:rsid w:val="00F55109"/>
    <w:rsid w:val="00F55E95"/>
    <w:rsid w:val="00F56D40"/>
    <w:rsid w:val="00F577A6"/>
    <w:rsid w:val="00F61314"/>
    <w:rsid w:val="00F62A94"/>
    <w:rsid w:val="00F62C5A"/>
    <w:rsid w:val="00F64804"/>
    <w:rsid w:val="00F664A8"/>
    <w:rsid w:val="00F70CA6"/>
    <w:rsid w:val="00F7152C"/>
    <w:rsid w:val="00F740EB"/>
    <w:rsid w:val="00F7500F"/>
    <w:rsid w:val="00F75B4C"/>
    <w:rsid w:val="00F76CFC"/>
    <w:rsid w:val="00F81121"/>
    <w:rsid w:val="00F82241"/>
    <w:rsid w:val="00F8423B"/>
    <w:rsid w:val="00F866D8"/>
    <w:rsid w:val="00F869BA"/>
    <w:rsid w:val="00F87200"/>
    <w:rsid w:val="00F87332"/>
    <w:rsid w:val="00F87F82"/>
    <w:rsid w:val="00F908B1"/>
    <w:rsid w:val="00F91E27"/>
    <w:rsid w:val="00F923DF"/>
    <w:rsid w:val="00F93769"/>
    <w:rsid w:val="00F951EC"/>
    <w:rsid w:val="00F95DC1"/>
    <w:rsid w:val="00FA02BA"/>
    <w:rsid w:val="00FA0795"/>
    <w:rsid w:val="00FA0A0B"/>
    <w:rsid w:val="00FA0A25"/>
    <w:rsid w:val="00FA3635"/>
    <w:rsid w:val="00FA678E"/>
    <w:rsid w:val="00FA6E01"/>
    <w:rsid w:val="00FA7D34"/>
    <w:rsid w:val="00FA7F9B"/>
    <w:rsid w:val="00FB092D"/>
    <w:rsid w:val="00FB248C"/>
    <w:rsid w:val="00FB2B94"/>
    <w:rsid w:val="00FB4E81"/>
    <w:rsid w:val="00FB707E"/>
    <w:rsid w:val="00FB716A"/>
    <w:rsid w:val="00FB71EB"/>
    <w:rsid w:val="00FC2C82"/>
    <w:rsid w:val="00FC3E00"/>
    <w:rsid w:val="00FD1425"/>
    <w:rsid w:val="00FD184A"/>
    <w:rsid w:val="00FD18EF"/>
    <w:rsid w:val="00FD281F"/>
    <w:rsid w:val="00FD30A2"/>
    <w:rsid w:val="00FD3513"/>
    <w:rsid w:val="00FD3CA5"/>
    <w:rsid w:val="00FD5976"/>
    <w:rsid w:val="00FD7FDB"/>
    <w:rsid w:val="00FE159D"/>
    <w:rsid w:val="00FE249F"/>
    <w:rsid w:val="00FE711D"/>
    <w:rsid w:val="00FF1EE7"/>
    <w:rsid w:val="00FF3EB2"/>
    <w:rsid w:val="00FF4305"/>
    <w:rsid w:val="00FF5C4F"/>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80E4"/>
  <w15:docId w15:val="{6905B9C2-1C5D-4676-BFAB-66407E8F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unhideWhenUsed/>
    <w:rsid w:val="003C00CB"/>
    <w:rPr>
      <w:sz w:val="20"/>
      <w:szCs w:val="20"/>
    </w:rPr>
  </w:style>
  <w:style w:type="character" w:customStyle="1" w:styleId="TextonotapieCar">
    <w:name w:val="Texto nota pie Car"/>
    <w:link w:val="Textonotapie"/>
    <w:uiPriority w:val="99"/>
    <w:rsid w:val="003C00CB"/>
    <w:rPr>
      <w:lang w:eastAsia="en-US"/>
    </w:rPr>
  </w:style>
  <w:style w:type="character" w:styleId="Refdenotaalpie">
    <w:name w:val="footnote reference"/>
    <w:uiPriority w:val="99"/>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9D5C48"/>
    <w:pPr>
      <w:spacing w:after="200" w:line="276" w:lineRule="auto"/>
      <w:ind w:left="720"/>
      <w:contextualSpacing/>
    </w:pPr>
    <w:rPr>
      <w:rFonts w:eastAsia="Batang"/>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9D5C48"/>
    <w:rPr>
      <w:rFonts w:eastAsia="Batang"/>
      <w:sz w:val="22"/>
      <w:szCs w:val="22"/>
      <w:lang w:eastAsia="en-US"/>
    </w:rPr>
  </w:style>
  <w:style w:type="paragraph" w:styleId="Textocomentario">
    <w:name w:val="annotation text"/>
    <w:basedOn w:val="Normal"/>
    <w:link w:val="TextocomentarioCar"/>
    <w:uiPriority w:val="99"/>
    <w:unhideWhenUsed/>
    <w:rsid w:val="009D5C48"/>
    <w:pPr>
      <w:spacing w:line="240" w:lineRule="auto"/>
    </w:pPr>
    <w:rPr>
      <w:rFonts w:eastAsia="Batang"/>
      <w:sz w:val="20"/>
      <w:szCs w:val="20"/>
    </w:rPr>
  </w:style>
  <w:style w:type="character" w:customStyle="1" w:styleId="TextocomentarioCar">
    <w:name w:val="Texto comentario Car"/>
    <w:link w:val="Textocomentario"/>
    <w:uiPriority w:val="99"/>
    <w:rsid w:val="009D5C48"/>
    <w:rPr>
      <w:rFonts w:eastAsia="Batang"/>
      <w:lang w:val="es-ES" w:eastAsia="en-US"/>
    </w:rPr>
  </w:style>
  <w:style w:type="character" w:customStyle="1" w:styleId="AsuntodelcomentarioCar">
    <w:name w:val="Asunto del comentario Car"/>
    <w:link w:val="Asuntodelcomentario"/>
    <w:uiPriority w:val="99"/>
    <w:semiHidden/>
    <w:rsid w:val="009D5C48"/>
    <w:rPr>
      <w:rFonts w:eastAsia="Batang"/>
      <w:b/>
      <w:bCs/>
      <w:lang w:val="es-ES" w:eastAsia="en-US"/>
    </w:rPr>
  </w:style>
  <w:style w:type="paragraph" w:styleId="Asuntodelcomentario">
    <w:name w:val="annotation subject"/>
    <w:basedOn w:val="Textocomentario"/>
    <w:next w:val="Textocomentario"/>
    <w:link w:val="AsuntodelcomentarioCar"/>
    <w:uiPriority w:val="99"/>
    <w:semiHidden/>
    <w:unhideWhenUsed/>
    <w:rsid w:val="009D5C48"/>
    <w:rPr>
      <w:b/>
      <w:bCs/>
    </w:rPr>
  </w:style>
  <w:style w:type="paragraph" w:styleId="Textoindependiente">
    <w:name w:val="Body Text"/>
    <w:basedOn w:val="Normal"/>
    <w:link w:val="TextoindependienteCar"/>
    <w:uiPriority w:val="99"/>
    <w:rsid w:val="009D5C48"/>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link w:val="Textoindependiente"/>
    <w:uiPriority w:val="99"/>
    <w:rsid w:val="009D5C48"/>
    <w:rPr>
      <w:rFonts w:ascii="Times New Roman" w:eastAsia="Times New Roman" w:hAnsi="Times New Roman"/>
      <w:snapToGrid w:val="0"/>
      <w:color w:val="000000"/>
      <w:sz w:val="24"/>
      <w:lang w:val="en-US" w:eastAsia="es-ES"/>
    </w:rPr>
  </w:style>
  <w:style w:type="character" w:styleId="Hipervnculo">
    <w:name w:val="Hyperlink"/>
    <w:uiPriority w:val="99"/>
    <w:semiHidden/>
    <w:unhideWhenUsed/>
    <w:rsid w:val="009D5C48"/>
    <w:rPr>
      <w:color w:val="0000FF"/>
      <w:u w:val="single"/>
    </w:rPr>
  </w:style>
  <w:style w:type="paragraph" w:customStyle="1" w:styleId="font5">
    <w:name w:val="font5"/>
    <w:basedOn w:val="Normal"/>
    <w:rsid w:val="009D5C48"/>
    <w:pPr>
      <w:spacing w:before="100" w:beforeAutospacing="1" w:after="100" w:afterAutospacing="1" w:line="240" w:lineRule="auto"/>
    </w:pPr>
    <w:rPr>
      <w:rFonts w:ascii="Soberana Sans" w:eastAsia="Times New Roman" w:hAnsi="Soberana Sans"/>
      <w:color w:val="000000"/>
      <w:sz w:val="18"/>
      <w:szCs w:val="18"/>
      <w:lang w:val="es-MX" w:eastAsia="es-MX"/>
    </w:rPr>
  </w:style>
  <w:style w:type="paragraph" w:customStyle="1" w:styleId="font6">
    <w:name w:val="font6"/>
    <w:basedOn w:val="Normal"/>
    <w:rsid w:val="009D5C48"/>
    <w:pPr>
      <w:spacing w:before="100" w:beforeAutospacing="1" w:after="100" w:afterAutospacing="1" w:line="240" w:lineRule="auto"/>
    </w:pPr>
    <w:rPr>
      <w:rFonts w:ascii="Soberana Sans" w:eastAsia="Times New Roman" w:hAnsi="Soberana Sans"/>
      <w:b/>
      <w:bCs/>
      <w:color w:val="FFFFFF"/>
      <w:sz w:val="18"/>
      <w:szCs w:val="18"/>
      <w:lang w:val="es-MX" w:eastAsia="es-MX"/>
    </w:rPr>
  </w:style>
  <w:style w:type="paragraph" w:customStyle="1" w:styleId="font7">
    <w:name w:val="font7"/>
    <w:basedOn w:val="Normal"/>
    <w:rsid w:val="009D5C48"/>
    <w:pPr>
      <w:spacing w:before="100" w:beforeAutospacing="1" w:after="100" w:afterAutospacing="1" w:line="240" w:lineRule="auto"/>
    </w:pPr>
    <w:rPr>
      <w:rFonts w:ascii="Soberana Sans" w:eastAsia="Times New Roman" w:hAnsi="Soberana Sans"/>
      <w:b/>
      <w:bCs/>
      <w:color w:val="000000"/>
      <w:sz w:val="18"/>
      <w:szCs w:val="18"/>
      <w:lang w:val="es-MX" w:eastAsia="es-MX"/>
    </w:rPr>
  </w:style>
  <w:style w:type="paragraph" w:customStyle="1" w:styleId="xl65">
    <w:name w:val="xl65"/>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24"/>
      <w:szCs w:val="24"/>
      <w:lang w:val="es-MX" w:eastAsia="es-MX"/>
    </w:rPr>
  </w:style>
  <w:style w:type="paragraph" w:customStyle="1" w:styleId="xl66">
    <w:name w:val="xl66"/>
    <w:basedOn w:val="Normal"/>
    <w:rsid w:val="009D5C48"/>
    <w:pPr>
      <w:pBdr>
        <w:top w:val="single" w:sz="4" w:space="0" w:color="000000"/>
        <w:bottom w:val="single" w:sz="4" w:space="0" w:color="000000"/>
        <w:right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67">
    <w:name w:val="xl67"/>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8">
    <w:name w:val="xl68"/>
    <w:basedOn w:val="Normal"/>
    <w:rsid w:val="009D5C48"/>
    <w:pPr>
      <w:pBdr>
        <w:top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9">
    <w:name w:val="xl69"/>
    <w:basedOn w:val="Normal"/>
    <w:rsid w:val="009D5C48"/>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0">
    <w:name w:val="xl70"/>
    <w:basedOn w:val="Normal"/>
    <w:rsid w:val="009D5C48"/>
    <w:pPr>
      <w:pBdr>
        <w:top w:val="single" w:sz="4" w:space="0" w:color="000000"/>
        <w:right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1">
    <w:name w:val="xl71"/>
    <w:basedOn w:val="Normal"/>
    <w:rsid w:val="009D5C48"/>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72">
    <w:name w:val="xl7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73">
    <w:name w:val="xl73"/>
    <w:basedOn w:val="Normal"/>
    <w:rsid w:val="009D5C48"/>
    <w:pPr>
      <w:pBdr>
        <w:left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4">
    <w:name w:val="xl74"/>
    <w:basedOn w:val="Normal"/>
    <w:rsid w:val="009D5C48"/>
    <w:pPr>
      <w:pBdr>
        <w:lef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5">
    <w:name w:val="xl7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6">
    <w:name w:val="xl76"/>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7">
    <w:name w:val="xl77"/>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8">
    <w:name w:val="xl78"/>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9">
    <w:name w:val="xl79"/>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0">
    <w:name w:val="xl80"/>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1">
    <w:name w:val="xl81"/>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2">
    <w:name w:val="xl82"/>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3">
    <w:name w:val="xl83"/>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4">
    <w:name w:val="xl84"/>
    <w:basedOn w:val="Normal"/>
    <w:rsid w:val="009D5C48"/>
    <w:pPr>
      <w:pBdr>
        <w:left w:val="single" w:sz="4" w:space="0" w:color="auto"/>
      </w:pBd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85">
    <w:name w:val="xl8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6">
    <w:name w:val="xl86"/>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b/>
      <w:bCs/>
      <w:color w:val="000000"/>
      <w:sz w:val="18"/>
      <w:szCs w:val="18"/>
      <w:lang w:val="es-MX" w:eastAsia="es-MX"/>
    </w:rPr>
  </w:style>
  <w:style w:type="paragraph" w:customStyle="1" w:styleId="xl87">
    <w:name w:val="xl87"/>
    <w:basedOn w:val="Normal"/>
    <w:rsid w:val="009D5C48"/>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88">
    <w:name w:val="xl88"/>
    <w:basedOn w:val="Normal"/>
    <w:rsid w:val="009D5C48"/>
    <w:pP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89">
    <w:name w:val="xl89"/>
    <w:basedOn w:val="Normal"/>
    <w:rsid w:val="009D5C48"/>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0">
    <w:name w:val="xl90"/>
    <w:basedOn w:val="Normal"/>
    <w:rsid w:val="009D5C48"/>
    <w:pPr>
      <w:pBdr>
        <w:top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1">
    <w:name w:val="xl91"/>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92">
    <w:name w:val="xl9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3">
    <w:name w:val="xl93"/>
    <w:basedOn w:val="Normal"/>
    <w:rsid w:val="009D5C48"/>
    <w:pPr>
      <w:pBdr>
        <w:bottom w:val="single" w:sz="4" w:space="0" w:color="000000"/>
      </w:pBd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94">
    <w:name w:val="xl94"/>
    <w:basedOn w:val="Normal"/>
    <w:rsid w:val="009D5C48"/>
    <w:pPr>
      <w:pBdr>
        <w:top w:val="single" w:sz="4" w:space="0" w:color="000000"/>
        <w:left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5">
    <w:name w:val="xl95"/>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6">
    <w:name w:val="xl96"/>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7">
    <w:name w:val="xl97"/>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8">
    <w:name w:val="xl98"/>
    <w:basedOn w:val="Normal"/>
    <w:rsid w:val="009D5C48"/>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99">
    <w:name w:val="xl99"/>
    <w:basedOn w:val="Normal"/>
    <w:rsid w:val="009D5C48"/>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0">
    <w:name w:val="xl100"/>
    <w:basedOn w:val="Normal"/>
    <w:rsid w:val="009D5C48"/>
    <w:pPr>
      <w:pBdr>
        <w:bottom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1">
    <w:name w:val="xl101"/>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2">
    <w:name w:val="xl102"/>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3">
    <w:name w:val="xl103"/>
    <w:basedOn w:val="Normal"/>
    <w:rsid w:val="009D5C4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styleId="Textosinformato">
    <w:name w:val="Plain Text"/>
    <w:basedOn w:val="Normal"/>
    <w:link w:val="TextosinformatoCar"/>
    <w:uiPriority w:val="99"/>
    <w:semiHidden/>
    <w:unhideWhenUsed/>
    <w:rsid w:val="009D5C48"/>
    <w:pPr>
      <w:spacing w:after="0" w:line="240" w:lineRule="auto"/>
    </w:pPr>
    <w:rPr>
      <w:szCs w:val="21"/>
      <w:lang w:val="es-MX"/>
    </w:rPr>
  </w:style>
  <w:style w:type="character" w:customStyle="1" w:styleId="TextosinformatoCar">
    <w:name w:val="Texto sin formato Car"/>
    <w:link w:val="Textosinformato"/>
    <w:uiPriority w:val="99"/>
    <w:semiHidden/>
    <w:rsid w:val="009D5C48"/>
    <w:rPr>
      <w:sz w:val="22"/>
      <w:szCs w:val="21"/>
      <w:lang w:eastAsia="en-US"/>
    </w:rPr>
  </w:style>
  <w:style w:type="paragraph" w:customStyle="1" w:styleId="pcstexto">
    <w:name w:val="pcstexto"/>
    <w:basedOn w:val="Normal"/>
    <w:rsid w:val="009D5C48"/>
    <w:pPr>
      <w:spacing w:after="0" w:line="240" w:lineRule="exact"/>
      <w:ind w:firstLine="288"/>
      <w:jc w:val="both"/>
    </w:pPr>
    <w:rPr>
      <w:rFonts w:ascii="Univers (W1)" w:hAnsi="Univers (W1)"/>
      <w:sz w:val="18"/>
      <w:szCs w:val="18"/>
      <w:lang w:val="es-MX" w:eastAsia="es-MX"/>
    </w:rPr>
  </w:style>
  <w:style w:type="character" w:customStyle="1" w:styleId="Textoindependiente3Car">
    <w:name w:val="Texto independiente 3 Car"/>
    <w:link w:val="Textoindependiente3"/>
    <w:uiPriority w:val="99"/>
    <w:semiHidden/>
    <w:rsid w:val="009D5C48"/>
    <w:rPr>
      <w:rFonts w:eastAsia="Batang"/>
      <w:sz w:val="16"/>
      <w:szCs w:val="16"/>
      <w:lang w:val="es-ES" w:eastAsia="en-US"/>
    </w:rPr>
  </w:style>
  <w:style w:type="paragraph" w:styleId="Textoindependiente3">
    <w:name w:val="Body Text 3"/>
    <w:basedOn w:val="Normal"/>
    <w:link w:val="Textoindependiente3Car"/>
    <w:uiPriority w:val="99"/>
    <w:semiHidden/>
    <w:unhideWhenUsed/>
    <w:rsid w:val="009D5C48"/>
    <w:pPr>
      <w:spacing w:after="120"/>
    </w:pPr>
    <w:rPr>
      <w:rFonts w:eastAsia="Batang"/>
      <w:sz w:val="16"/>
      <w:szCs w:val="16"/>
    </w:rPr>
  </w:style>
  <w:style w:type="paragraph" w:customStyle="1" w:styleId="Texto">
    <w:name w:val="Texto"/>
    <w:basedOn w:val="Normal"/>
    <w:link w:val="TextoCar"/>
    <w:qFormat/>
    <w:rsid w:val="009D5C4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D5C48"/>
    <w:rPr>
      <w:rFonts w:ascii="Arial" w:eastAsia="Times New Roman" w:hAnsi="Arial" w:cs="Arial"/>
      <w:sz w:val="18"/>
      <w:lang w:val="es-ES" w:eastAsia="es-ES"/>
    </w:rPr>
  </w:style>
  <w:style w:type="paragraph" w:styleId="NormalWeb">
    <w:name w:val="Normal (Web)"/>
    <w:basedOn w:val="Normal"/>
    <w:uiPriority w:val="99"/>
    <w:unhideWhenUsed/>
    <w:rsid w:val="009D5C48"/>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Refdecomentario">
    <w:name w:val="annotation reference"/>
    <w:basedOn w:val="Fuentedeprrafopredeter"/>
    <w:uiPriority w:val="99"/>
    <w:semiHidden/>
    <w:unhideWhenUsed/>
    <w:rsid w:val="000678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827">
      <w:bodyDiv w:val="1"/>
      <w:marLeft w:val="0"/>
      <w:marRight w:val="0"/>
      <w:marTop w:val="0"/>
      <w:marBottom w:val="0"/>
      <w:divBdr>
        <w:top w:val="none" w:sz="0" w:space="0" w:color="auto"/>
        <w:left w:val="none" w:sz="0" w:space="0" w:color="auto"/>
        <w:bottom w:val="none" w:sz="0" w:space="0" w:color="auto"/>
        <w:right w:val="none" w:sz="0" w:space="0" w:color="auto"/>
      </w:divBdr>
    </w:div>
    <w:div w:id="26417690">
      <w:bodyDiv w:val="1"/>
      <w:marLeft w:val="0"/>
      <w:marRight w:val="0"/>
      <w:marTop w:val="0"/>
      <w:marBottom w:val="0"/>
      <w:divBdr>
        <w:top w:val="none" w:sz="0" w:space="0" w:color="auto"/>
        <w:left w:val="none" w:sz="0" w:space="0" w:color="auto"/>
        <w:bottom w:val="none" w:sz="0" w:space="0" w:color="auto"/>
        <w:right w:val="none" w:sz="0" w:space="0" w:color="auto"/>
      </w:divBdr>
    </w:div>
    <w:div w:id="37821914">
      <w:bodyDiv w:val="1"/>
      <w:marLeft w:val="0"/>
      <w:marRight w:val="0"/>
      <w:marTop w:val="0"/>
      <w:marBottom w:val="0"/>
      <w:divBdr>
        <w:top w:val="none" w:sz="0" w:space="0" w:color="auto"/>
        <w:left w:val="none" w:sz="0" w:space="0" w:color="auto"/>
        <w:bottom w:val="none" w:sz="0" w:space="0" w:color="auto"/>
        <w:right w:val="none" w:sz="0" w:space="0" w:color="auto"/>
      </w:divBdr>
    </w:div>
    <w:div w:id="45690569">
      <w:bodyDiv w:val="1"/>
      <w:marLeft w:val="0"/>
      <w:marRight w:val="0"/>
      <w:marTop w:val="0"/>
      <w:marBottom w:val="0"/>
      <w:divBdr>
        <w:top w:val="none" w:sz="0" w:space="0" w:color="auto"/>
        <w:left w:val="none" w:sz="0" w:space="0" w:color="auto"/>
        <w:bottom w:val="none" w:sz="0" w:space="0" w:color="auto"/>
        <w:right w:val="none" w:sz="0" w:space="0" w:color="auto"/>
      </w:divBdr>
    </w:div>
    <w:div w:id="46532872">
      <w:bodyDiv w:val="1"/>
      <w:marLeft w:val="0"/>
      <w:marRight w:val="0"/>
      <w:marTop w:val="0"/>
      <w:marBottom w:val="0"/>
      <w:divBdr>
        <w:top w:val="none" w:sz="0" w:space="0" w:color="auto"/>
        <w:left w:val="none" w:sz="0" w:space="0" w:color="auto"/>
        <w:bottom w:val="none" w:sz="0" w:space="0" w:color="auto"/>
        <w:right w:val="none" w:sz="0" w:space="0" w:color="auto"/>
      </w:divBdr>
    </w:div>
    <w:div w:id="64648344">
      <w:bodyDiv w:val="1"/>
      <w:marLeft w:val="0"/>
      <w:marRight w:val="0"/>
      <w:marTop w:val="0"/>
      <w:marBottom w:val="0"/>
      <w:divBdr>
        <w:top w:val="none" w:sz="0" w:space="0" w:color="auto"/>
        <w:left w:val="none" w:sz="0" w:space="0" w:color="auto"/>
        <w:bottom w:val="none" w:sz="0" w:space="0" w:color="auto"/>
        <w:right w:val="none" w:sz="0" w:space="0" w:color="auto"/>
      </w:divBdr>
    </w:div>
    <w:div w:id="105586475">
      <w:bodyDiv w:val="1"/>
      <w:marLeft w:val="0"/>
      <w:marRight w:val="0"/>
      <w:marTop w:val="0"/>
      <w:marBottom w:val="0"/>
      <w:divBdr>
        <w:top w:val="none" w:sz="0" w:space="0" w:color="auto"/>
        <w:left w:val="none" w:sz="0" w:space="0" w:color="auto"/>
        <w:bottom w:val="none" w:sz="0" w:space="0" w:color="auto"/>
        <w:right w:val="none" w:sz="0" w:space="0" w:color="auto"/>
      </w:divBdr>
    </w:div>
    <w:div w:id="118184224">
      <w:bodyDiv w:val="1"/>
      <w:marLeft w:val="0"/>
      <w:marRight w:val="0"/>
      <w:marTop w:val="0"/>
      <w:marBottom w:val="0"/>
      <w:divBdr>
        <w:top w:val="none" w:sz="0" w:space="0" w:color="auto"/>
        <w:left w:val="none" w:sz="0" w:space="0" w:color="auto"/>
        <w:bottom w:val="none" w:sz="0" w:space="0" w:color="auto"/>
        <w:right w:val="none" w:sz="0" w:space="0" w:color="auto"/>
      </w:divBdr>
    </w:div>
    <w:div w:id="119425270">
      <w:bodyDiv w:val="1"/>
      <w:marLeft w:val="0"/>
      <w:marRight w:val="0"/>
      <w:marTop w:val="0"/>
      <w:marBottom w:val="0"/>
      <w:divBdr>
        <w:top w:val="none" w:sz="0" w:space="0" w:color="auto"/>
        <w:left w:val="none" w:sz="0" w:space="0" w:color="auto"/>
        <w:bottom w:val="none" w:sz="0" w:space="0" w:color="auto"/>
        <w:right w:val="none" w:sz="0" w:space="0" w:color="auto"/>
      </w:divBdr>
    </w:div>
    <w:div w:id="123889727">
      <w:bodyDiv w:val="1"/>
      <w:marLeft w:val="0"/>
      <w:marRight w:val="0"/>
      <w:marTop w:val="0"/>
      <w:marBottom w:val="0"/>
      <w:divBdr>
        <w:top w:val="none" w:sz="0" w:space="0" w:color="auto"/>
        <w:left w:val="none" w:sz="0" w:space="0" w:color="auto"/>
        <w:bottom w:val="none" w:sz="0" w:space="0" w:color="auto"/>
        <w:right w:val="none" w:sz="0" w:space="0" w:color="auto"/>
      </w:divBdr>
    </w:div>
    <w:div w:id="129328596">
      <w:bodyDiv w:val="1"/>
      <w:marLeft w:val="0"/>
      <w:marRight w:val="0"/>
      <w:marTop w:val="0"/>
      <w:marBottom w:val="0"/>
      <w:divBdr>
        <w:top w:val="none" w:sz="0" w:space="0" w:color="auto"/>
        <w:left w:val="none" w:sz="0" w:space="0" w:color="auto"/>
        <w:bottom w:val="none" w:sz="0" w:space="0" w:color="auto"/>
        <w:right w:val="none" w:sz="0" w:space="0" w:color="auto"/>
      </w:divBdr>
    </w:div>
    <w:div w:id="164781352">
      <w:bodyDiv w:val="1"/>
      <w:marLeft w:val="0"/>
      <w:marRight w:val="0"/>
      <w:marTop w:val="0"/>
      <w:marBottom w:val="0"/>
      <w:divBdr>
        <w:top w:val="none" w:sz="0" w:space="0" w:color="auto"/>
        <w:left w:val="none" w:sz="0" w:space="0" w:color="auto"/>
        <w:bottom w:val="none" w:sz="0" w:space="0" w:color="auto"/>
        <w:right w:val="none" w:sz="0" w:space="0" w:color="auto"/>
      </w:divBdr>
    </w:div>
    <w:div w:id="166870338">
      <w:bodyDiv w:val="1"/>
      <w:marLeft w:val="0"/>
      <w:marRight w:val="0"/>
      <w:marTop w:val="0"/>
      <w:marBottom w:val="0"/>
      <w:divBdr>
        <w:top w:val="none" w:sz="0" w:space="0" w:color="auto"/>
        <w:left w:val="none" w:sz="0" w:space="0" w:color="auto"/>
        <w:bottom w:val="none" w:sz="0" w:space="0" w:color="auto"/>
        <w:right w:val="none" w:sz="0" w:space="0" w:color="auto"/>
      </w:divBdr>
    </w:div>
    <w:div w:id="171187130">
      <w:bodyDiv w:val="1"/>
      <w:marLeft w:val="0"/>
      <w:marRight w:val="0"/>
      <w:marTop w:val="0"/>
      <w:marBottom w:val="0"/>
      <w:divBdr>
        <w:top w:val="none" w:sz="0" w:space="0" w:color="auto"/>
        <w:left w:val="none" w:sz="0" w:space="0" w:color="auto"/>
        <w:bottom w:val="none" w:sz="0" w:space="0" w:color="auto"/>
        <w:right w:val="none" w:sz="0" w:space="0" w:color="auto"/>
      </w:divBdr>
    </w:div>
    <w:div w:id="181863848">
      <w:bodyDiv w:val="1"/>
      <w:marLeft w:val="0"/>
      <w:marRight w:val="0"/>
      <w:marTop w:val="0"/>
      <w:marBottom w:val="0"/>
      <w:divBdr>
        <w:top w:val="none" w:sz="0" w:space="0" w:color="auto"/>
        <w:left w:val="none" w:sz="0" w:space="0" w:color="auto"/>
        <w:bottom w:val="none" w:sz="0" w:space="0" w:color="auto"/>
        <w:right w:val="none" w:sz="0" w:space="0" w:color="auto"/>
      </w:divBdr>
    </w:div>
    <w:div w:id="196284814">
      <w:bodyDiv w:val="1"/>
      <w:marLeft w:val="0"/>
      <w:marRight w:val="0"/>
      <w:marTop w:val="0"/>
      <w:marBottom w:val="0"/>
      <w:divBdr>
        <w:top w:val="none" w:sz="0" w:space="0" w:color="auto"/>
        <w:left w:val="none" w:sz="0" w:space="0" w:color="auto"/>
        <w:bottom w:val="none" w:sz="0" w:space="0" w:color="auto"/>
        <w:right w:val="none" w:sz="0" w:space="0" w:color="auto"/>
      </w:divBdr>
    </w:div>
    <w:div w:id="203562558">
      <w:bodyDiv w:val="1"/>
      <w:marLeft w:val="0"/>
      <w:marRight w:val="0"/>
      <w:marTop w:val="0"/>
      <w:marBottom w:val="0"/>
      <w:divBdr>
        <w:top w:val="none" w:sz="0" w:space="0" w:color="auto"/>
        <w:left w:val="none" w:sz="0" w:space="0" w:color="auto"/>
        <w:bottom w:val="none" w:sz="0" w:space="0" w:color="auto"/>
        <w:right w:val="none" w:sz="0" w:space="0" w:color="auto"/>
      </w:divBdr>
    </w:div>
    <w:div w:id="213469625">
      <w:bodyDiv w:val="1"/>
      <w:marLeft w:val="0"/>
      <w:marRight w:val="0"/>
      <w:marTop w:val="0"/>
      <w:marBottom w:val="0"/>
      <w:divBdr>
        <w:top w:val="none" w:sz="0" w:space="0" w:color="auto"/>
        <w:left w:val="none" w:sz="0" w:space="0" w:color="auto"/>
        <w:bottom w:val="none" w:sz="0" w:space="0" w:color="auto"/>
        <w:right w:val="none" w:sz="0" w:space="0" w:color="auto"/>
      </w:divBdr>
    </w:div>
    <w:div w:id="216014220">
      <w:bodyDiv w:val="1"/>
      <w:marLeft w:val="0"/>
      <w:marRight w:val="0"/>
      <w:marTop w:val="0"/>
      <w:marBottom w:val="0"/>
      <w:divBdr>
        <w:top w:val="none" w:sz="0" w:space="0" w:color="auto"/>
        <w:left w:val="none" w:sz="0" w:space="0" w:color="auto"/>
        <w:bottom w:val="none" w:sz="0" w:space="0" w:color="auto"/>
        <w:right w:val="none" w:sz="0" w:space="0" w:color="auto"/>
      </w:divBdr>
    </w:div>
    <w:div w:id="222447070">
      <w:bodyDiv w:val="1"/>
      <w:marLeft w:val="0"/>
      <w:marRight w:val="0"/>
      <w:marTop w:val="0"/>
      <w:marBottom w:val="0"/>
      <w:divBdr>
        <w:top w:val="none" w:sz="0" w:space="0" w:color="auto"/>
        <w:left w:val="none" w:sz="0" w:space="0" w:color="auto"/>
        <w:bottom w:val="none" w:sz="0" w:space="0" w:color="auto"/>
        <w:right w:val="none" w:sz="0" w:space="0" w:color="auto"/>
      </w:divBdr>
    </w:div>
    <w:div w:id="224025308">
      <w:bodyDiv w:val="1"/>
      <w:marLeft w:val="0"/>
      <w:marRight w:val="0"/>
      <w:marTop w:val="0"/>
      <w:marBottom w:val="0"/>
      <w:divBdr>
        <w:top w:val="none" w:sz="0" w:space="0" w:color="auto"/>
        <w:left w:val="none" w:sz="0" w:space="0" w:color="auto"/>
        <w:bottom w:val="none" w:sz="0" w:space="0" w:color="auto"/>
        <w:right w:val="none" w:sz="0" w:space="0" w:color="auto"/>
      </w:divBdr>
    </w:div>
    <w:div w:id="227692137">
      <w:bodyDiv w:val="1"/>
      <w:marLeft w:val="0"/>
      <w:marRight w:val="0"/>
      <w:marTop w:val="0"/>
      <w:marBottom w:val="0"/>
      <w:divBdr>
        <w:top w:val="none" w:sz="0" w:space="0" w:color="auto"/>
        <w:left w:val="none" w:sz="0" w:space="0" w:color="auto"/>
        <w:bottom w:val="none" w:sz="0" w:space="0" w:color="auto"/>
        <w:right w:val="none" w:sz="0" w:space="0" w:color="auto"/>
      </w:divBdr>
    </w:div>
    <w:div w:id="247345721">
      <w:bodyDiv w:val="1"/>
      <w:marLeft w:val="0"/>
      <w:marRight w:val="0"/>
      <w:marTop w:val="0"/>
      <w:marBottom w:val="0"/>
      <w:divBdr>
        <w:top w:val="none" w:sz="0" w:space="0" w:color="auto"/>
        <w:left w:val="none" w:sz="0" w:space="0" w:color="auto"/>
        <w:bottom w:val="none" w:sz="0" w:space="0" w:color="auto"/>
        <w:right w:val="none" w:sz="0" w:space="0" w:color="auto"/>
      </w:divBdr>
    </w:div>
    <w:div w:id="257981831">
      <w:bodyDiv w:val="1"/>
      <w:marLeft w:val="0"/>
      <w:marRight w:val="0"/>
      <w:marTop w:val="0"/>
      <w:marBottom w:val="0"/>
      <w:divBdr>
        <w:top w:val="none" w:sz="0" w:space="0" w:color="auto"/>
        <w:left w:val="none" w:sz="0" w:space="0" w:color="auto"/>
        <w:bottom w:val="none" w:sz="0" w:space="0" w:color="auto"/>
        <w:right w:val="none" w:sz="0" w:space="0" w:color="auto"/>
      </w:divBdr>
    </w:div>
    <w:div w:id="259333173">
      <w:bodyDiv w:val="1"/>
      <w:marLeft w:val="0"/>
      <w:marRight w:val="0"/>
      <w:marTop w:val="0"/>
      <w:marBottom w:val="0"/>
      <w:divBdr>
        <w:top w:val="none" w:sz="0" w:space="0" w:color="auto"/>
        <w:left w:val="none" w:sz="0" w:space="0" w:color="auto"/>
        <w:bottom w:val="none" w:sz="0" w:space="0" w:color="auto"/>
        <w:right w:val="none" w:sz="0" w:space="0" w:color="auto"/>
      </w:divBdr>
    </w:div>
    <w:div w:id="265699549">
      <w:bodyDiv w:val="1"/>
      <w:marLeft w:val="0"/>
      <w:marRight w:val="0"/>
      <w:marTop w:val="0"/>
      <w:marBottom w:val="0"/>
      <w:divBdr>
        <w:top w:val="none" w:sz="0" w:space="0" w:color="auto"/>
        <w:left w:val="none" w:sz="0" w:space="0" w:color="auto"/>
        <w:bottom w:val="none" w:sz="0" w:space="0" w:color="auto"/>
        <w:right w:val="none" w:sz="0" w:space="0" w:color="auto"/>
      </w:divBdr>
    </w:div>
    <w:div w:id="276911219">
      <w:bodyDiv w:val="1"/>
      <w:marLeft w:val="0"/>
      <w:marRight w:val="0"/>
      <w:marTop w:val="0"/>
      <w:marBottom w:val="0"/>
      <w:divBdr>
        <w:top w:val="none" w:sz="0" w:space="0" w:color="auto"/>
        <w:left w:val="none" w:sz="0" w:space="0" w:color="auto"/>
        <w:bottom w:val="none" w:sz="0" w:space="0" w:color="auto"/>
        <w:right w:val="none" w:sz="0" w:space="0" w:color="auto"/>
      </w:divBdr>
    </w:div>
    <w:div w:id="294609249">
      <w:bodyDiv w:val="1"/>
      <w:marLeft w:val="0"/>
      <w:marRight w:val="0"/>
      <w:marTop w:val="0"/>
      <w:marBottom w:val="0"/>
      <w:divBdr>
        <w:top w:val="none" w:sz="0" w:space="0" w:color="auto"/>
        <w:left w:val="none" w:sz="0" w:space="0" w:color="auto"/>
        <w:bottom w:val="none" w:sz="0" w:space="0" w:color="auto"/>
        <w:right w:val="none" w:sz="0" w:space="0" w:color="auto"/>
      </w:divBdr>
    </w:div>
    <w:div w:id="302541904">
      <w:bodyDiv w:val="1"/>
      <w:marLeft w:val="0"/>
      <w:marRight w:val="0"/>
      <w:marTop w:val="0"/>
      <w:marBottom w:val="0"/>
      <w:divBdr>
        <w:top w:val="none" w:sz="0" w:space="0" w:color="auto"/>
        <w:left w:val="none" w:sz="0" w:space="0" w:color="auto"/>
        <w:bottom w:val="none" w:sz="0" w:space="0" w:color="auto"/>
        <w:right w:val="none" w:sz="0" w:space="0" w:color="auto"/>
      </w:divBdr>
    </w:div>
    <w:div w:id="312299547">
      <w:bodyDiv w:val="1"/>
      <w:marLeft w:val="0"/>
      <w:marRight w:val="0"/>
      <w:marTop w:val="0"/>
      <w:marBottom w:val="0"/>
      <w:divBdr>
        <w:top w:val="none" w:sz="0" w:space="0" w:color="auto"/>
        <w:left w:val="none" w:sz="0" w:space="0" w:color="auto"/>
        <w:bottom w:val="none" w:sz="0" w:space="0" w:color="auto"/>
        <w:right w:val="none" w:sz="0" w:space="0" w:color="auto"/>
      </w:divBdr>
    </w:div>
    <w:div w:id="312414211">
      <w:bodyDiv w:val="1"/>
      <w:marLeft w:val="0"/>
      <w:marRight w:val="0"/>
      <w:marTop w:val="0"/>
      <w:marBottom w:val="0"/>
      <w:divBdr>
        <w:top w:val="none" w:sz="0" w:space="0" w:color="auto"/>
        <w:left w:val="none" w:sz="0" w:space="0" w:color="auto"/>
        <w:bottom w:val="none" w:sz="0" w:space="0" w:color="auto"/>
        <w:right w:val="none" w:sz="0" w:space="0" w:color="auto"/>
      </w:divBdr>
    </w:div>
    <w:div w:id="318576260">
      <w:bodyDiv w:val="1"/>
      <w:marLeft w:val="0"/>
      <w:marRight w:val="0"/>
      <w:marTop w:val="0"/>
      <w:marBottom w:val="0"/>
      <w:divBdr>
        <w:top w:val="none" w:sz="0" w:space="0" w:color="auto"/>
        <w:left w:val="none" w:sz="0" w:space="0" w:color="auto"/>
        <w:bottom w:val="none" w:sz="0" w:space="0" w:color="auto"/>
        <w:right w:val="none" w:sz="0" w:space="0" w:color="auto"/>
      </w:divBdr>
    </w:div>
    <w:div w:id="337924345">
      <w:bodyDiv w:val="1"/>
      <w:marLeft w:val="0"/>
      <w:marRight w:val="0"/>
      <w:marTop w:val="0"/>
      <w:marBottom w:val="0"/>
      <w:divBdr>
        <w:top w:val="none" w:sz="0" w:space="0" w:color="auto"/>
        <w:left w:val="none" w:sz="0" w:space="0" w:color="auto"/>
        <w:bottom w:val="none" w:sz="0" w:space="0" w:color="auto"/>
        <w:right w:val="none" w:sz="0" w:space="0" w:color="auto"/>
      </w:divBdr>
    </w:div>
    <w:div w:id="341510579">
      <w:bodyDiv w:val="1"/>
      <w:marLeft w:val="0"/>
      <w:marRight w:val="0"/>
      <w:marTop w:val="0"/>
      <w:marBottom w:val="0"/>
      <w:divBdr>
        <w:top w:val="none" w:sz="0" w:space="0" w:color="auto"/>
        <w:left w:val="none" w:sz="0" w:space="0" w:color="auto"/>
        <w:bottom w:val="none" w:sz="0" w:space="0" w:color="auto"/>
        <w:right w:val="none" w:sz="0" w:space="0" w:color="auto"/>
      </w:divBdr>
    </w:div>
    <w:div w:id="346179254">
      <w:bodyDiv w:val="1"/>
      <w:marLeft w:val="0"/>
      <w:marRight w:val="0"/>
      <w:marTop w:val="0"/>
      <w:marBottom w:val="0"/>
      <w:divBdr>
        <w:top w:val="none" w:sz="0" w:space="0" w:color="auto"/>
        <w:left w:val="none" w:sz="0" w:space="0" w:color="auto"/>
        <w:bottom w:val="none" w:sz="0" w:space="0" w:color="auto"/>
        <w:right w:val="none" w:sz="0" w:space="0" w:color="auto"/>
      </w:divBdr>
    </w:div>
    <w:div w:id="366491547">
      <w:bodyDiv w:val="1"/>
      <w:marLeft w:val="0"/>
      <w:marRight w:val="0"/>
      <w:marTop w:val="0"/>
      <w:marBottom w:val="0"/>
      <w:divBdr>
        <w:top w:val="none" w:sz="0" w:space="0" w:color="auto"/>
        <w:left w:val="none" w:sz="0" w:space="0" w:color="auto"/>
        <w:bottom w:val="none" w:sz="0" w:space="0" w:color="auto"/>
        <w:right w:val="none" w:sz="0" w:space="0" w:color="auto"/>
      </w:divBdr>
    </w:div>
    <w:div w:id="378357444">
      <w:bodyDiv w:val="1"/>
      <w:marLeft w:val="0"/>
      <w:marRight w:val="0"/>
      <w:marTop w:val="0"/>
      <w:marBottom w:val="0"/>
      <w:divBdr>
        <w:top w:val="none" w:sz="0" w:space="0" w:color="auto"/>
        <w:left w:val="none" w:sz="0" w:space="0" w:color="auto"/>
        <w:bottom w:val="none" w:sz="0" w:space="0" w:color="auto"/>
        <w:right w:val="none" w:sz="0" w:space="0" w:color="auto"/>
      </w:divBdr>
    </w:div>
    <w:div w:id="393117435">
      <w:bodyDiv w:val="1"/>
      <w:marLeft w:val="0"/>
      <w:marRight w:val="0"/>
      <w:marTop w:val="0"/>
      <w:marBottom w:val="0"/>
      <w:divBdr>
        <w:top w:val="none" w:sz="0" w:space="0" w:color="auto"/>
        <w:left w:val="none" w:sz="0" w:space="0" w:color="auto"/>
        <w:bottom w:val="none" w:sz="0" w:space="0" w:color="auto"/>
        <w:right w:val="none" w:sz="0" w:space="0" w:color="auto"/>
      </w:divBdr>
    </w:div>
    <w:div w:id="407385133">
      <w:bodyDiv w:val="1"/>
      <w:marLeft w:val="0"/>
      <w:marRight w:val="0"/>
      <w:marTop w:val="0"/>
      <w:marBottom w:val="0"/>
      <w:divBdr>
        <w:top w:val="none" w:sz="0" w:space="0" w:color="auto"/>
        <w:left w:val="none" w:sz="0" w:space="0" w:color="auto"/>
        <w:bottom w:val="none" w:sz="0" w:space="0" w:color="auto"/>
        <w:right w:val="none" w:sz="0" w:space="0" w:color="auto"/>
      </w:divBdr>
    </w:div>
    <w:div w:id="429007602">
      <w:bodyDiv w:val="1"/>
      <w:marLeft w:val="0"/>
      <w:marRight w:val="0"/>
      <w:marTop w:val="0"/>
      <w:marBottom w:val="0"/>
      <w:divBdr>
        <w:top w:val="none" w:sz="0" w:space="0" w:color="auto"/>
        <w:left w:val="none" w:sz="0" w:space="0" w:color="auto"/>
        <w:bottom w:val="none" w:sz="0" w:space="0" w:color="auto"/>
        <w:right w:val="none" w:sz="0" w:space="0" w:color="auto"/>
      </w:divBdr>
    </w:div>
    <w:div w:id="439834094">
      <w:bodyDiv w:val="1"/>
      <w:marLeft w:val="0"/>
      <w:marRight w:val="0"/>
      <w:marTop w:val="0"/>
      <w:marBottom w:val="0"/>
      <w:divBdr>
        <w:top w:val="none" w:sz="0" w:space="0" w:color="auto"/>
        <w:left w:val="none" w:sz="0" w:space="0" w:color="auto"/>
        <w:bottom w:val="none" w:sz="0" w:space="0" w:color="auto"/>
        <w:right w:val="none" w:sz="0" w:space="0" w:color="auto"/>
      </w:divBdr>
    </w:div>
    <w:div w:id="444275118">
      <w:bodyDiv w:val="1"/>
      <w:marLeft w:val="0"/>
      <w:marRight w:val="0"/>
      <w:marTop w:val="0"/>
      <w:marBottom w:val="0"/>
      <w:divBdr>
        <w:top w:val="none" w:sz="0" w:space="0" w:color="auto"/>
        <w:left w:val="none" w:sz="0" w:space="0" w:color="auto"/>
        <w:bottom w:val="none" w:sz="0" w:space="0" w:color="auto"/>
        <w:right w:val="none" w:sz="0" w:space="0" w:color="auto"/>
      </w:divBdr>
    </w:div>
    <w:div w:id="461658582">
      <w:bodyDiv w:val="1"/>
      <w:marLeft w:val="0"/>
      <w:marRight w:val="0"/>
      <w:marTop w:val="0"/>
      <w:marBottom w:val="0"/>
      <w:divBdr>
        <w:top w:val="none" w:sz="0" w:space="0" w:color="auto"/>
        <w:left w:val="none" w:sz="0" w:space="0" w:color="auto"/>
        <w:bottom w:val="none" w:sz="0" w:space="0" w:color="auto"/>
        <w:right w:val="none" w:sz="0" w:space="0" w:color="auto"/>
      </w:divBdr>
    </w:div>
    <w:div w:id="468010612">
      <w:bodyDiv w:val="1"/>
      <w:marLeft w:val="0"/>
      <w:marRight w:val="0"/>
      <w:marTop w:val="0"/>
      <w:marBottom w:val="0"/>
      <w:divBdr>
        <w:top w:val="none" w:sz="0" w:space="0" w:color="auto"/>
        <w:left w:val="none" w:sz="0" w:space="0" w:color="auto"/>
        <w:bottom w:val="none" w:sz="0" w:space="0" w:color="auto"/>
        <w:right w:val="none" w:sz="0" w:space="0" w:color="auto"/>
      </w:divBdr>
    </w:div>
    <w:div w:id="485979417">
      <w:bodyDiv w:val="1"/>
      <w:marLeft w:val="0"/>
      <w:marRight w:val="0"/>
      <w:marTop w:val="0"/>
      <w:marBottom w:val="0"/>
      <w:divBdr>
        <w:top w:val="none" w:sz="0" w:space="0" w:color="auto"/>
        <w:left w:val="none" w:sz="0" w:space="0" w:color="auto"/>
        <w:bottom w:val="none" w:sz="0" w:space="0" w:color="auto"/>
        <w:right w:val="none" w:sz="0" w:space="0" w:color="auto"/>
      </w:divBdr>
    </w:div>
    <w:div w:id="487985244">
      <w:bodyDiv w:val="1"/>
      <w:marLeft w:val="0"/>
      <w:marRight w:val="0"/>
      <w:marTop w:val="0"/>
      <w:marBottom w:val="0"/>
      <w:divBdr>
        <w:top w:val="none" w:sz="0" w:space="0" w:color="auto"/>
        <w:left w:val="none" w:sz="0" w:space="0" w:color="auto"/>
        <w:bottom w:val="none" w:sz="0" w:space="0" w:color="auto"/>
        <w:right w:val="none" w:sz="0" w:space="0" w:color="auto"/>
      </w:divBdr>
    </w:div>
    <w:div w:id="494420014">
      <w:bodyDiv w:val="1"/>
      <w:marLeft w:val="0"/>
      <w:marRight w:val="0"/>
      <w:marTop w:val="0"/>
      <w:marBottom w:val="0"/>
      <w:divBdr>
        <w:top w:val="none" w:sz="0" w:space="0" w:color="auto"/>
        <w:left w:val="none" w:sz="0" w:space="0" w:color="auto"/>
        <w:bottom w:val="none" w:sz="0" w:space="0" w:color="auto"/>
        <w:right w:val="none" w:sz="0" w:space="0" w:color="auto"/>
      </w:divBdr>
    </w:div>
    <w:div w:id="500583875">
      <w:bodyDiv w:val="1"/>
      <w:marLeft w:val="0"/>
      <w:marRight w:val="0"/>
      <w:marTop w:val="0"/>
      <w:marBottom w:val="0"/>
      <w:divBdr>
        <w:top w:val="none" w:sz="0" w:space="0" w:color="auto"/>
        <w:left w:val="none" w:sz="0" w:space="0" w:color="auto"/>
        <w:bottom w:val="none" w:sz="0" w:space="0" w:color="auto"/>
        <w:right w:val="none" w:sz="0" w:space="0" w:color="auto"/>
      </w:divBdr>
    </w:div>
    <w:div w:id="513225434">
      <w:bodyDiv w:val="1"/>
      <w:marLeft w:val="0"/>
      <w:marRight w:val="0"/>
      <w:marTop w:val="0"/>
      <w:marBottom w:val="0"/>
      <w:divBdr>
        <w:top w:val="none" w:sz="0" w:space="0" w:color="auto"/>
        <w:left w:val="none" w:sz="0" w:space="0" w:color="auto"/>
        <w:bottom w:val="none" w:sz="0" w:space="0" w:color="auto"/>
        <w:right w:val="none" w:sz="0" w:space="0" w:color="auto"/>
      </w:divBdr>
    </w:div>
    <w:div w:id="538780748">
      <w:bodyDiv w:val="1"/>
      <w:marLeft w:val="0"/>
      <w:marRight w:val="0"/>
      <w:marTop w:val="0"/>
      <w:marBottom w:val="0"/>
      <w:divBdr>
        <w:top w:val="none" w:sz="0" w:space="0" w:color="auto"/>
        <w:left w:val="none" w:sz="0" w:space="0" w:color="auto"/>
        <w:bottom w:val="none" w:sz="0" w:space="0" w:color="auto"/>
        <w:right w:val="none" w:sz="0" w:space="0" w:color="auto"/>
      </w:divBdr>
    </w:div>
    <w:div w:id="556867101">
      <w:bodyDiv w:val="1"/>
      <w:marLeft w:val="0"/>
      <w:marRight w:val="0"/>
      <w:marTop w:val="0"/>
      <w:marBottom w:val="0"/>
      <w:divBdr>
        <w:top w:val="none" w:sz="0" w:space="0" w:color="auto"/>
        <w:left w:val="none" w:sz="0" w:space="0" w:color="auto"/>
        <w:bottom w:val="none" w:sz="0" w:space="0" w:color="auto"/>
        <w:right w:val="none" w:sz="0" w:space="0" w:color="auto"/>
      </w:divBdr>
    </w:div>
    <w:div w:id="581063120">
      <w:bodyDiv w:val="1"/>
      <w:marLeft w:val="0"/>
      <w:marRight w:val="0"/>
      <w:marTop w:val="0"/>
      <w:marBottom w:val="0"/>
      <w:divBdr>
        <w:top w:val="none" w:sz="0" w:space="0" w:color="auto"/>
        <w:left w:val="none" w:sz="0" w:space="0" w:color="auto"/>
        <w:bottom w:val="none" w:sz="0" w:space="0" w:color="auto"/>
        <w:right w:val="none" w:sz="0" w:space="0" w:color="auto"/>
      </w:divBdr>
    </w:div>
    <w:div w:id="591741808">
      <w:bodyDiv w:val="1"/>
      <w:marLeft w:val="0"/>
      <w:marRight w:val="0"/>
      <w:marTop w:val="0"/>
      <w:marBottom w:val="0"/>
      <w:divBdr>
        <w:top w:val="none" w:sz="0" w:space="0" w:color="auto"/>
        <w:left w:val="none" w:sz="0" w:space="0" w:color="auto"/>
        <w:bottom w:val="none" w:sz="0" w:space="0" w:color="auto"/>
        <w:right w:val="none" w:sz="0" w:space="0" w:color="auto"/>
      </w:divBdr>
    </w:div>
    <w:div w:id="618297660">
      <w:bodyDiv w:val="1"/>
      <w:marLeft w:val="0"/>
      <w:marRight w:val="0"/>
      <w:marTop w:val="0"/>
      <w:marBottom w:val="0"/>
      <w:divBdr>
        <w:top w:val="none" w:sz="0" w:space="0" w:color="auto"/>
        <w:left w:val="none" w:sz="0" w:space="0" w:color="auto"/>
        <w:bottom w:val="none" w:sz="0" w:space="0" w:color="auto"/>
        <w:right w:val="none" w:sz="0" w:space="0" w:color="auto"/>
      </w:divBdr>
    </w:div>
    <w:div w:id="645160212">
      <w:bodyDiv w:val="1"/>
      <w:marLeft w:val="0"/>
      <w:marRight w:val="0"/>
      <w:marTop w:val="0"/>
      <w:marBottom w:val="0"/>
      <w:divBdr>
        <w:top w:val="none" w:sz="0" w:space="0" w:color="auto"/>
        <w:left w:val="none" w:sz="0" w:space="0" w:color="auto"/>
        <w:bottom w:val="none" w:sz="0" w:space="0" w:color="auto"/>
        <w:right w:val="none" w:sz="0" w:space="0" w:color="auto"/>
      </w:divBdr>
    </w:div>
    <w:div w:id="667368377">
      <w:bodyDiv w:val="1"/>
      <w:marLeft w:val="0"/>
      <w:marRight w:val="0"/>
      <w:marTop w:val="0"/>
      <w:marBottom w:val="0"/>
      <w:divBdr>
        <w:top w:val="none" w:sz="0" w:space="0" w:color="auto"/>
        <w:left w:val="none" w:sz="0" w:space="0" w:color="auto"/>
        <w:bottom w:val="none" w:sz="0" w:space="0" w:color="auto"/>
        <w:right w:val="none" w:sz="0" w:space="0" w:color="auto"/>
      </w:divBdr>
    </w:div>
    <w:div w:id="678117252">
      <w:bodyDiv w:val="1"/>
      <w:marLeft w:val="0"/>
      <w:marRight w:val="0"/>
      <w:marTop w:val="0"/>
      <w:marBottom w:val="0"/>
      <w:divBdr>
        <w:top w:val="none" w:sz="0" w:space="0" w:color="auto"/>
        <w:left w:val="none" w:sz="0" w:space="0" w:color="auto"/>
        <w:bottom w:val="none" w:sz="0" w:space="0" w:color="auto"/>
        <w:right w:val="none" w:sz="0" w:space="0" w:color="auto"/>
      </w:divBdr>
    </w:div>
    <w:div w:id="683552609">
      <w:bodyDiv w:val="1"/>
      <w:marLeft w:val="0"/>
      <w:marRight w:val="0"/>
      <w:marTop w:val="0"/>
      <w:marBottom w:val="0"/>
      <w:divBdr>
        <w:top w:val="none" w:sz="0" w:space="0" w:color="auto"/>
        <w:left w:val="none" w:sz="0" w:space="0" w:color="auto"/>
        <w:bottom w:val="none" w:sz="0" w:space="0" w:color="auto"/>
        <w:right w:val="none" w:sz="0" w:space="0" w:color="auto"/>
      </w:divBdr>
    </w:div>
    <w:div w:id="684983367">
      <w:bodyDiv w:val="1"/>
      <w:marLeft w:val="0"/>
      <w:marRight w:val="0"/>
      <w:marTop w:val="0"/>
      <w:marBottom w:val="0"/>
      <w:divBdr>
        <w:top w:val="none" w:sz="0" w:space="0" w:color="auto"/>
        <w:left w:val="none" w:sz="0" w:space="0" w:color="auto"/>
        <w:bottom w:val="none" w:sz="0" w:space="0" w:color="auto"/>
        <w:right w:val="none" w:sz="0" w:space="0" w:color="auto"/>
      </w:divBdr>
    </w:div>
    <w:div w:id="694382223">
      <w:bodyDiv w:val="1"/>
      <w:marLeft w:val="0"/>
      <w:marRight w:val="0"/>
      <w:marTop w:val="0"/>
      <w:marBottom w:val="0"/>
      <w:divBdr>
        <w:top w:val="none" w:sz="0" w:space="0" w:color="auto"/>
        <w:left w:val="none" w:sz="0" w:space="0" w:color="auto"/>
        <w:bottom w:val="none" w:sz="0" w:space="0" w:color="auto"/>
        <w:right w:val="none" w:sz="0" w:space="0" w:color="auto"/>
      </w:divBdr>
    </w:div>
    <w:div w:id="724646354">
      <w:bodyDiv w:val="1"/>
      <w:marLeft w:val="0"/>
      <w:marRight w:val="0"/>
      <w:marTop w:val="0"/>
      <w:marBottom w:val="0"/>
      <w:divBdr>
        <w:top w:val="none" w:sz="0" w:space="0" w:color="auto"/>
        <w:left w:val="none" w:sz="0" w:space="0" w:color="auto"/>
        <w:bottom w:val="none" w:sz="0" w:space="0" w:color="auto"/>
        <w:right w:val="none" w:sz="0" w:space="0" w:color="auto"/>
      </w:divBdr>
    </w:div>
    <w:div w:id="724721515">
      <w:bodyDiv w:val="1"/>
      <w:marLeft w:val="0"/>
      <w:marRight w:val="0"/>
      <w:marTop w:val="0"/>
      <w:marBottom w:val="0"/>
      <w:divBdr>
        <w:top w:val="none" w:sz="0" w:space="0" w:color="auto"/>
        <w:left w:val="none" w:sz="0" w:space="0" w:color="auto"/>
        <w:bottom w:val="none" w:sz="0" w:space="0" w:color="auto"/>
        <w:right w:val="none" w:sz="0" w:space="0" w:color="auto"/>
      </w:divBdr>
    </w:div>
    <w:div w:id="735707825">
      <w:bodyDiv w:val="1"/>
      <w:marLeft w:val="0"/>
      <w:marRight w:val="0"/>
      <w:marTop w:val="0"/>
      <w:marBottom w:val="0"/>
      <w:divBdr>
        <w:top w:val="none" w:sz="0" w:space="0" w:color="auto"/>
        <w:left w:val="none" w:sz="0" w:space="0" w:color="auto"/>
        <w:bottom w:val="none" w:sz="0" w:space="0" w:color="auto"/>
        <w:right w:val="none" w:sz="0" w:space="0" w:color="auto"/>
      </w:divBdr>
    </w:div>
    <w:div w:id="739326509">
      <w:bodyDiv w:val="1"/>
      <w:marLeft w:val="0"/>
      <w:marRight w:val="0"/>
      <w:marTop w:val="0"/>
      <w:marBottom w:val="0"/>
      <w:divBdr>
        <w:top w:val="none" w:sz="0" w:space="0" w:color="auto"/>
        <w:left w:val="none" w:sz="0" w:space="0" w:color="auto"/>
        <w:bottom w:val="none" w:sz="0" w:space="0" w:color="auto"/>
        <w:right w:val="none" w:sz="0" w:space="0" w:color="auto"/>
      </w:divBdr>
    </w:div>
    <w:div w:id="750276899">
      <w:bodyDiv w:val="1"/>
      <w:marLeft w:val="0"/>
      <w:marRight w:val="0"/>
      <w:marTop w:val="0"/>
      <w:marBottom w:val="0"/>
      <w:divBdr>
        <w:top w:val="none" w:sz="0" w:space="0" w:color="auto"/>
        <w:left w:val="none" w:sz="0" w:space="0" w:color="auto"/>
        <w:bottom w:val="none" w:sz="0" w:space="0" w:color="auto"/>
        <w:right w:val="none" w:sz="0" w:space="0" w:color="auto"/>
      </w:divBdr>
    </w:div>
    <w:div w:id="795441401">
      <w:bodyDiv w:val="1"/>
      <w:marLeft w:val="0"/>
      <w:marRight w:val="0"/>
      <w:marTop w:val="0"/>
      <w:marBottom w:val="0"/>
      <w:divBdr>
        <w:top w:val="none" w:sz="0" w:space="0" w:color="auto"/>
        <w:left w:val="none" w:sz="0" w:space="0" w:color="auto"/>
        <w:bottom w:val="none" w:sz="0" w:space="0" w:color="auto"/>
        <w:right w:val="none" w:sz="0" w:space="0" w:color="auto"/>
      </w:divBdr>
    </w:div>
    <w:div w:id="798644136">
      <w:bodyDiv w:val="1"/>
      <w:marLeft w:val="0"/>
      <w:marRight w:val="0"/>
      <w:marTop w:val="0"/>
      <w:marBottom w:val="0"/>
      <w:divBdr>
        <w:top w:val="none" w:sz="0" w:space="0" w:color="auto"/>
        <w:left w:val="none" w:sz="0" w:space="0" w:color="auto"/>
        <w:bottom w:val="none" w:sz="0" w:space="0" w:color="auto"/>
        <w:right w:val="none" w:sz="0" w:space="0" w:color="auto"/>
      </w:divBdr>
    </w:div>
    <w:div w:id="801193411">
      <w:bodyDiv w:val="1"/>
      <w:marLeft w:val="0"/>
      <w:marRight w:val="0"/>
      <w:marTop w:val="0"/>
      <w:marBottom w:val="0"/>
      <w:divBdr>
        <w:top w:val="none" w:sz="0" w:space="0" w:color="auto"/>
        <w:left w:val="none" w:sz="0" w:space="0" w:color="auto"/>
        <w:bottom w:val="none" w:sz="0" w:space="0" w:color="auto"/>
        <w:right w:val="none" w:sz="0" w:space="0" w:color="auto"/>
      </w:divBdr>
    </w:div>
    <w:div w:id="801657366">
      <w:bodyDiv w:val="1"/>
      <w:marLeft w:val="0"/>
      <w:marRight w:val="0"/>
      <w:marTop w:val="0"/>
      <w:marBottom w:val="0"/>
      <w:divBdr>
        <w:top w:val="none" w:sz="0" w:space="0" w:color="auto"/>
        <w:left w:val="none" w:sz="0" w:space="0" w:color="auto"/>
        <w:bottom w:val="none" w:sz="0" w:space="0" w:color="auto"/>
        <w:right w:val="none" w:sz="0" w:space="0" w:color="auto"/>
      </w:divBdr>
    </w:div>
    <w:div w:id="827287520">
      <w:bodyDiv w:val="1"/>
      <w:marLeft w:val="0"/>
      <w:marRight w:val="0"/>
      <w:marTop w:val="0"/>
      <w:marBottom w:val="0"/>
      <w:divBdr>
        <w:top w:val="none" w:sz="0" w:space="0" w:color="auto"/>
        <w:left w:val="none" w:sz="0" w:space="0" w:color="auto"/>
        <w:bottom w:val="none" w:sz="0" w:space="0" w:color="auto"/>
        <w:right w:val="none" w:sz="0" w:space="0" w:color="auto"/>
      </w:divBdr>
    </w:div>
    <w:div w:id="847985073">
      <w:bodyDiv w:val="1"/>
      <w:marLeft w:val="0"/>
      <w:marRight w:val="0"/>
      <w:marTop w:val="0"/>
      <w:marBottom w:val="0"/>
      <w:divBdr>
        <w:top w:val="none" w:sz="0" w:space="0" w:color="auto"/>
        <w:left w:val="none" w:sz="0" w:space="0" w:color="auto"/>
        <w:bottom w:val="none" w:sz="0" w:space="0" w:color="auto"/>
        <w:right w:val="none" w:sz="0" w:space="0" w:color="auto"/>
      </w:divBdr>
    </w:div>
    <w:div w:id="858422821">
      <w:bodyDiv w:val="1"/>
      <w:marLeft w:val="0"/>
      <w:marRight w:val="0"/>
      <w:marTop w:val="0"/>
      <w:marBottom w:val="0"/>
      <w:divBdr>
        <w:top w:val="none" w:sz="0" w:space="0" w:color="auto"/>
        <w:left w:val="none" w:sz="0" w:space="0" w:color="auto"/>
        <w:bottom w:val="none" w:sz="0" w:space="0" w:color="auto"/>
        <w:right w:val="none" w:sz="0" w:space="0" w:color="auto"/>
      </w:divBdr>
    </w:div>
    <w:div w:id="865944251">
      <w:bodyDiv w:val="1"/>
      <w:marLeft w:val="0"/>
      <w:marRight w:val="0"/>
      <w:marTop w:val="0"/>
      <w:marBottom w:val="0"/>
      <w:divBdr>
        <w:top w:val="none" w:sz="0" w:space="0" w:color="auto"/>
        <w:left w:val="none" w:sz="0" w:space="0" w:color="auto"/>
        <w:bottom w:val="none" w:sz="0" w:space="0" w:color="auto"/>
        <w:right w:val="none" w:sz="0" w:space="0" w:color="auto"/>
      </w:divBdr>
    </w:div>
    <w:div w:id="878517812">
      <w:bodyDiv w:val="1"/>
      <w:marLeft w:val="0"/>
      <w:marRight w:val="0"/>
      <w:marTop w:val="0"/>
      <w:marBottom w:val="0"/>
      <w:divBdr>
        <w:top w:val="none" w:sz="0" w:space="0" w:color="auto"/>
        <w:left w:val="none" w:sz="0" w:space="0" w:color="auto"/>
        <w:bottom w:val="none" w:sz="0" w:space="0" w:color="auto"/>
        <w:right w:val="none" w:sz="0" w:space="0" w:color="auto"/>
      </w:divBdr>
    </w:div>
    <w:div w:id="913244261">
      <w:bodyDiv w:val="1"/>
      <w:marLeft w:val="0"/>
      <w:marRight w:val="0"/>
      <w:marTop w:val="0"/>
      <w:marBottom w:val="0"/>
      <w:divBdr>
        <w:top w:val="none" w:sz="0" w:space="0" w:color="auto"/>
        <w:left w:val="none" w:sz="0" w:space="0" w:color="auto"/>
        <w:bottom w:val="none" w:sz="0" w:space="0" w:color="auto"/>
        <w:right w:val="none" w:sz="0" w:space="0" w:color="auto"/>
      </w:divBdr>
    </w:div>
    <w:div w:id="942761543">
      <w:bodyDiv w:val="1"/>
      <w:marLeft w:val="0"/>
      <w:marRight w:val="0"/>
      <w:marTop w:val="0"/>
      <w:marBottom w:val="0"/>
      <w:divBdr>
        <w:top w:val="none" w:sz="0" w:space="0" w:color="auto"/>
        <w:left w:val="none" w:sz="0" w:space="0" w:color="auto"/>
        <w:bottom w:val="none" w:sz="0" w:space="0" w:color="auto"/>
        <w:right w:val="none" w:sz="0" w:space="0" w:color="auto"/>
      </w:divBdr>
    </w:div>
    <w:div w:id="944456522">
      <w:bodyDiv w:val="1"/>
      <w:marLeft w:val="0"/>
      <w:marRight w:val="0"/>
      <w:marTop w:val="0"/>
      <w:marBottom w:val="0"/>
      <w:divBdr>
        <w:top w:val="none" w:sz="0" w:space="0" w:color="auto"/>
        <w:left w:val="none" w:sz="0" w:space="0" w:color="auto"/>
        <w:bottom w:val="none" w:sz="0" w:space="0" w:color="auto"/>
        <w:right w:val="none" w:sz="0" w:space="0" w:color="auto"/>
      </w:divBdr>
    </w:div>
    <w:div w:id="944465747">
      <w:bodyDiv w:val="1"/>
      <w:marLeft w:val="0"/>
      <w:marRight w:val="0"/>
      <w:marTop w:val="0"/>
      <w:marBottom w:val="0"/>
      <w:divBdr>
        <w:top w:val="none" w:sz="0" w:space="0" w:color="auto"/>
        <w:left w:val="none" w:sz="0" w:space="0" w:color="auto"/>
        <w:bottom w:val="none" w:sz="0" w:space="0" w:color="auto"/>
        <w:right w:val="none" w:sz="0" w:space="0" w:color="auto"/>
      </w:divBdr>
    </w:div>
    <w:div w:id="945767894">
      <w:bodyDiv w:val="1"/>
      <w:marLeft w:val="0"/>
      <w:marRight w:val="0"/>
      <w:marTop w:val="0"/>
      <w:marBottom w:val="0"/>
      <w:divBdr>
        <w:top w:val="none" w:sz="0" w:space="0" w:color="auto"/>
        <w:left w:val="none" w:sz="0" w:space="0" w:color="auto"/>
        <w:bottom w:val="none" w:sz="0" w:space="0" w:color="auto"/>
        <w:right w:val="none" w:sz="0" w:space="0" w:color="auto"/>
      </w:divBdr>
    </w:div>
    <w:div w:id="954755628">
      <w:bodyDiv w:val="1"/>
      <w:marLeft w:val="0"/>
      <w:marRight w:val="0"/>
      <w:marTop w:val="0"/>
      <w:marBottom w:val="0"/>
      <w:divBdr>
        <w:top w:val="none" w:sz="0" w:space="0" w:color="auto"/>
        <w:left w:val="none" w:sz="0" w:space="0" w:color="auto"/>
        <w:bottom w:val="none" w:sz="0" w:space="0" w:color="auto"/>
        <w:right w:val="none" w:sz="0" w:space="0" w:color="auto"/>
      </w:divBdr>
    </w:div>
    <w:div w:id="955330826">
      <w:bodyDiv w:val="1"/>
      <w:marLeft w:val="0"/>
      <w:marRight w:val="0"/>
      <w:marTop w:val="0"/>
      <w:marBottom w:val="0"/>
      <w:divBdr>
        <w:top w:val="none" w:sz="0" w:space="0" w:color="auto"/>
        <w:left w:val="none" w:sz="0" w:space="0" w:color="auto"/>
        <w:bottom w:val="none" w:sz="0" w:space="0" w:color="auto"/>
        <w:right w:val="none" w:sz="0" w:space="0" w:color="auto"/>
      </w:divBdr>
    </w:div>
    <w:div w:id="974262584">
      <w:bodyDiv w:val="1"/>
      <w:marLeft w:val="0"/>
      <w:marRight w:val="0"/>
      <w:marTop w:val="0"/>
      <w:marBottom w:val="0"/>
      <w:divBdr>
        <w:top w:val="none" w:sz="0" w:space="0" w:color="auto"/>
        <w:left w:val="none" w:sz="0" w:space="0" w:color="auto"/>
        <w:bottom w:val="none" w:sz="0" w:space="0" w:color="auto"/>
        <w:right w:val="none" w:sz="0" w:space="0" w:color="auto"/>
      </w:divBdr>
    </w:div>
    <w:div w:id="978535629">
      <w:bodyDiv w:val="1"/>
      <w:marLeft w:val="0"/>
      <w:marRight w:val="0"/>
      <w:marTop w:val="0"/>
      <w:marBottom w:val="0"/>
      <w:divBdr>
        <w:top w:val="none" w:sz="0" w:space="0" w:color="auto"/>
        <w:left w:val="none" w:sz="0" w:space="0" w:color="auto"/>
        <w:bottom w:val="none" w:sz="0" w:space="0" w:color="auto"/>
        <w:right w:val="none" w:sz="0" w:space="0" w:color="auto"/>
      </w:divBdr>
    </w:div>
    <w:div w:id="1001927453">
      <w:bodyDiv w:val="1"/>
      <w:marLeft w:val="0"/>
      <w:marRight w:val="0"/>
      <w:marTop w:val="0"/>
      <w:marBottom w:val="0"/>
      <w:divBdr>
        <w:top w:val="none" w:sz="0" w:space="0" w:color="auto"/>
        <w:left w:val="none" w:sz="0" w:space="0" w:color="auto"/>
        <w:bottom w:val="none" w:sz="0" w:space="0" w:color="auto"/>
        <w:right w:val="none" w:sz="0" w:space="0" w:color="auto"/>
      </w:divBdr>
    </w:div>
    <w:div w:id="1015306013">
      <w:bodyDiv w:val="1"/>
      <w:marLeft w:val="0"/>
      <w:marRight w:val="0"/>
      <w:marTop w:val="0"/>
      <w:marBottom w:val="0"/>
      <w:divBdr>
        <w:top w:val="none" w:sz="0" w:space="0" w:color="auto"/>
        <w:left w:val="none" w:sz="0" w:space="0" w:color="auto"/>
        <w:bottom w:val="none" w:sz="0" w:space="0" w:color="auto"/>
        <w:right w:val="none" w:sz="0" w:space="0" w:color="auto"/>
      </w:divBdr>
    </w:div>
    <w:div w:id="1056663255">
      <w:bodyDiv w:val="1"/>
      <w:marLeft w:val="0"/>
      <w:marRight w:val="0"/>
      <w:marTop w:val="0"/>
      <w:marBottom w:val="0"/>
      <w:divBdr>
        <w:top w:val="none" w:sz="0" w:space="0" w:color="auto"/>
        <w:left w:val="none" w:sz="0" w:space="0" w:color="auto"/>
        <w:bottom w:val="none" w:sz="0" w:space="0" w:color="auto"/>
        <w:right w:val="none" w:sz="0" w:space="0" w:color="auto"/>
      </w:divBdr>
    </w:div>
    <w:div w:id="1058281170">
      <w:bodyDiv w:val="1"/>
      <w:marLeft w:val="0"/>
      <w:marRight w:val="0"/>
      <w:marTop w:val="0"/>
      <w:marBottom w:val="0"/>
      <w:divBdr>
        <w:top w:val="none" w:sz="0" w:space="0" w:color="auto"/>
        <w:left w:val="none" w:sz="0" w:space="0" w:color="auto"/>
        <w:bottom w:val="none" w:sz="0" w:space="0" w:color="auto"/>
        <w:right w:val="none" w:sz="0" w:space="0" w:color="auto"/>
      </w:divBdr>
    </w:div>
    <w:div w:id="1070619608">
      <w:bodyDiv w:val="1"/>
      <w:marLeft w:val="0"/>
      <w:marRight w:val="0"/>
      <w:marTop w:val="0"/>
      <w:marBottom w:val="0"/>
      <w:divBdr>
        <w:top w:val="none" w:sz="0" w:space="0" w:color="auto"/>
        <w:left w:val="none" w:sz="0" w:space="0" w:color="auto"/>
        <w:bottom w:val="none" w:sz="0" w:space="0" w:color="auto"/>
        <w:right w:val="none" w:sz="0" w:space="0" w:color="auto"/>
      </w:divBdr>
    </w:div>
    <w:div w:id="1071194289">
      <w:bodyDiv w:val="1"/>
      <w:marLeft w:val="0"/>
      <w:marRight w:val="0"/>
      <w:marTop w:val="0"/>
      <w:marBottom w:val="0"/>
      <w:divBdr>
        <w:top w:val="none" w:sz="0" w:space="0" w:color="auto"/>
        <w:left w:val="none" w:sz="0" w:space="0" w:color="auto"/>
        <w:bottom w:val="none" w:sz="0" w:space="0" w:color="auto"/>
        <w:right w:val="none" w:sz="0" w:space="0" w:color="auto"/>
      </w:divBdr>
    </w:div>
    <w:div w:id="1072384872">
      <w:bodyDiv w:val="1"/>
      <w:marLeft w:val="0"/>
      <w:marRight w:val="0"/>
      <w:marTop w:val="0"/>
      <w:marBottom w:val="0"/>
      <w:divBdr>
        <w:top w:val="none" w:sz="0" w:space="0" w:color="auto"/>
        <w:left w:val="none" w:sz="0" w:space="0" w:color="auto"/>
        <w:bottom w:val="none" w:sz="0" w:space="0" w:color="auto"/>
        <w:right w:val="none" w:sz="0" w:space="0" w:color="auto"/>
      </w:divBdr>
    </w:div>
    <w:div w:id="1091241644">
      <w:bodyDiv w:val="1"/>
      <w:marLeft w:val="0"/>
      <w:marRight w:val="0"/>
      <w:marTop w:val="0"/>
      <w:marBottom w:val="0"/>
      <w:divBdr>
        <w:top w:val="none" w:sz="0" w:space="0" w:color="auto"/>
        <w:left w:val="none" w:sz="0" w:space="0" w:color="auto"/>
        <w:bottom w:val="none" w:sz="0" w:space="0" w:color="auto"/>
        <w:right w:val="none" w:sz="0" w:space="0" w:color="auto"/>
      </w:divBdr>
    </w:div>
    <w:div w:id="1101560494">
      <w:bodyDiv w:val="1"/>
      <w:marLeft w:val="0"/>
      <w:marRight w:val="0"/>
      <w:marTop w:val="0"/>
      <w:marBottom w:val="0"/>
      <w:divBdr>
        <w:top w:val="none" w:sz="0" w:space="0" w:color="auto"/>
        <w:left w:val="none" w:sz="0" w:space="0" w:color="auto"/>
        <w:bottom w:val="none" w:sz="0" w:space="0" w:color="auto"/>
        <w:right w:val="none" w:sz="0" w:space="0" w:color="auto"/>
      </w:divBdr>
    </w:div>
    <w:div w:id="1116799509">
      <w:bodyDiv w:val="1"/>
      <w:marLeft w:val="0"/>
      <w:marRight w:val="0"/>
      <w:marTop w:val="0"/>
      <w:marBottom w:val="0"/>
      <w:divBdr>
        <w:top w:val="none" w:sz="0" w:space="0" w:color="auto"/>
        <w:left w:val="none" w:sz="0" w:space="0" w:color="auto"/>
        <w:bottom w:val="none" w:sz="0" w:space="0" w:color="auto"/>
        <w:right w:val="none" w:sz="0" w:space="0" w:color="auto"/>
      </w:divBdr>
    </w:div>
    <w:div w:id="1116873996">
      <w:bodyDiv w:val="1"/>
      <w:marLeft w:val="0"/>
      <w:marRight w:val="0"/>
      <w:marTop w:val="0"/>
      <w:marBottom w:val="0"/>
      <w:divBdr>
        <w:top w:val="none" w:sz="0" w:space="0" w:color="auto"/>
        <w:left w:val="none" w:sz="0" w:space="0" w:color="auto"/>
        <w:bottom w:val="none" w:sz="0" w:space="0" w:color="auto"/>
        <w:right w:val="none" w:sz="0" w:space="0" w:color="auto"/>
      </w:divBdr>
    </w:div>
    <w:div w:id="1127511676">
      <w:bodyDiv w:val="1"/>
      <w:marLeft w:val="0"/>
      <w:marRight w:val="0"/>
      <w:marTop w:val="0"/>
      <w:marBottom w:val="0"/>
      <w:divBdr>
        <w:top w:val="none" w:sz="0" w:space="0" w:color="auto"/>
        <w:left w:val="none" w:sz="0" w:space="0" w:color="auto"/>
        <w:bottom w:val="none" w:sz="0" w:space="0" w:color="auto"/>
        <w:right w:val="none" w:sz="0" w:space="0" w:color="auto"/>
      </w:divBdr>
    </w:div>
    <w:div w:id="1144127907">
      <w:bodyDiv w:val="1"/>
      <w:marLeft w:val="0"/>
      <w:marRight w:val="0"/>
      <w:marTop w:val="0"/>
      <w:marBottom w:val="0"/>
      <w:divBdr>
        <w:top w:val="none" w:sz="0" w:space="0" w:color="auto"/>
        <w:left w:val="none" w:sz="0" w:space="0" w:color="auto"/>
        <w:bottom w:val="none" w:sz="0" w:space="0" w:color="auto"/>
        <w:right w:val="none" w:sz="0" w:space="0" w:color="auto"/>
      </w:divBdr>
    </w:div>
    <w:div w:id="1156066446">
      <w:bodyDiv w:val="1"/>
      <w:marLeft w:val="0"/>
      <w:marRight w:val="0"/>
      <w:marTop w:val="0"/>
      <w:marBottom w:val="0"/>
      <w:divBdr>
        <w:top w:val="none" w:sz="0" w:space="0" w:color="auto"/>
        <w:left w:val="none" w:sz="0" w:space="0" w:color="auto"/>
        <w:bottom w:val="none" w:sz="0" w:space="0" w:color="auto"/>
        <w:right w:val="none" w:sz="0" w:space="0" w:color="auto"/>
      </w:divBdr>
    </w:div>
    <w:div w:id="1164396538">
      <w:bodyDiv w:val="1"/>
      <w:marLeft w:val="0"/>
      <w:marRight w:val="0"/>
      <w:marTop w:val="0"/>
      <w:marBottom w:val="0"/>
      <w:divBdr>
        <w:top w:val="none" w:sz="0" w:space="0" w:color="auto"/>
        <w:left w:val="none" w:sz="0" w:space="0" w:color="auto"/>
        <w:bottom w:val="none" w:sz="0" w:space="0" w:color="auto"/>
        <w:right w:val="none" w:sz="0" w:space="0" w:color="auto"/>
      </w:divBdr>
    </w:div>
    <w:div w:id="1188716425">
      <w:bodyDiv w:val="1"/>
      <w:marLeft w:val="0"/>
      <w:marRight w:val="0"/>
      <w:marTop w:val="0"/>
      <w:marBottom w:val="0"/>
      <w:divBdr>
        <w:top w:val="none" w:sz="0" w:space="0" w:color="auto"/>
        <w:left w:val="none" w:sz="0" w:space="0" w:color="auto"/>
        <w:bottom w:val="none" w:sz="0" w:space="0" w:color="auto"/>
        <w:right w:val="none" w:sz="0" w:space="0" w:color="auto"/>
      </w:divBdr>
    </w:div>
    <w:div w:id="1209029875">
      <w:bodyDiv w:val="1"/>
      <w:marLeft w:val="0"/>
      <w:marRight w:val="0"/>
      <w:marTop w:val="0"/>
      <w:marBottom w:val="0"/>
      <w:divBdr>
        <w:top w:val="none" w:sz="0" w:space="0" w:color="auto"/>
        <w:left w:val="none" w:sz="0" w:space="0" w:color="auto"/>
        <w:bottom w:val="none" w:sz="0" w:space="0" w:color="auto"/>
        <w:right w:val="none" w:sz="0" w:space="0" w:color="auto"/>
      </w:divBdr>
    </w:div>
    <w:div w:id="1227644838">
      <w:bodyDiv w:val="1"/>
      <w:marLeft w:val="0"/>
      <w:marRight w:val="0"/>
      <w:marTop w:val="0"/>
      <w:marBottom w:val="0"/>
      <w:divBdr>
        <w:top w:val="none" w:sz="0" w:space="0" w:color="auto"/>
        <w:left w:val="none" w:sz="0" w:space="0" w:color="auto"/>
        <w:bottom w:val="none" w:sz="0" w:space="0" w:color="auto"/>
        <w:right w:val="none" w:sz="0" w:space="0" w:color="auto"/>
      </w:divBdr>
    </w:div>
    <w:div w:id="1240823165">
      <w:bodyDiv w:val="1"/>
      <w:marLeft w:val="0"/>
      <w:marRight w:val="0"/>
      <w:marTop w:val="0"/>
      <w:marBottom w:val="0"/>
      <w:divBdr>
        <w:top w:val="none" w:sz="0" w:space="0" w:color="auto"/>
        <w:left w:val="none" w:sz="0" w:space="0" w:color="auto"/>
        <w:bottom w:val="none" w:sz="0" w:space="0" w:color="auto"/>
        <w:right w:val="none" w:sz="0" w:space="0" w:color="auto"/>
      </w:divBdr>
    </w:div>
    <w:div w:id="1247766304">
      <w:bodyDiv w:val="1"/>
      <w:marLeft w:val="0"/>
      <w:marRight w:val="0"/>
      <w:marTop w:val="0"/>
      <w:marBottom w:val="0"/>
      <w:divBdr>
        <w:top w:val="none" w:sz="0" w:space="0" w:color="auto"/>
        <w:left w:val="none" w:sz="0" w:space="0" w:color="auto"/>
        <w:bottom w:val="none" w:sz="0" w:space="0" w:color="auto"/>
        <w:right w:val="none" w:sz="0" w:space="0" w:color="auto"/>
      </w:divBdr>
    </w:div>
    <w:div w:id="1250890904">
      <w:bodyDiv w:val="1"/>
      <w:marLeft w:val="0"/>
      <w:marRight w:val="0"/>
      <w:marTop w:val="0"/>
      <w:marBottom w:val="0"/>
      <w:divBdr>
        <w:top w:val="none" w:sz="0" w:space="0" w:color="auto"/>
        <w:left w:val="none" w:sz="0" w:space="0" w:color="auto"/>
        <w:bottom w:val="none" w:sz="0" w:space="0" w:color="auto"/>
        <w:right w:val="none" w:sz="0" w:space="0" w:color="auto"/>
      </w:divBdr>
    </w:div>
    <w:div w:id="1260258154">
      <w:bodyDiv w:val="1"/>
      <w:marLeft w:val="0"/>
      <w:marRight w:val="0"/>
      <w:marTop w:val="0"/>
      <w:marBottom w:val="0"/>
      <w:divBdr>
        <w:top w:val="none" w:sz="0" w:space="0" w:color="auto"/>
        <w:left w:val="none" w:sz="0" w:space="0" w:color="auto"/>
        <w:bottom w:val="none" w:sz="0" w:space="0" w:color="auto"/>
        <w:right w:val="none" w:sz="0" w:space="0" w:color="auto"/>
      </w:divBdr>
    </w:div>
    <w:div w:id="1286542707">
      <w:bodyDiv w:val="1"/>
      <w:marLeft w:val="0"/>
      <w:marRight w:val="0"/>
      <w:marTop w:val="0"/>
      <w:marBottom w:val="0"/>
      <w:divBdr>
        <w:top w:val="none" w:sz="0" w:space="0" w:color="auto"/>
        <w:left w:val="none" w:sz="0" w:space="0" w:color="auto"/>
        <w:bottom w:val="none" w:sz="0" w:space="0" w:color="auto"/>
        <w:right w:val="none" w:sz="0" w:space="0" w:color="auto"/>
      </w:divBdr>
    </w:div>
    <w:div w:id="1288118902">
      <w:bodyDiv w:val="1"/>
      <w:marLeft w:val="0"/>
      <w:marRight w:val="0"/>
      <w:marTop w:val="0"/>
      <w:marBottom w:val="0"/>
      <w:divBdr>
        <w:top w:val="none" w:sz="0" w:space="0" w:color="auto"/>
        <w:left w:val="none" w:sz="0" w:space="0" w:color="auto"/>
        <w:bottom w:val="none" w:sz="0" w:space="0" w:color="auto"/>
        <w:right w:val="none" w:sz="0" w:space="0" w:color="auto"/>
      </w:divBdr>
    </w:div>
    <w:div w:id="1293556878">
      <w:bodyDiv w:val="1"/>
      <w:marLeft w:val="0"/>
      <w:marRight w:val="0"/>
      <w:marTop w:val="0"/>
      <w:marBottom w:val="0"/>
      <w:divBdr>
        <w:top w:val="none" w:sz="0" w:space="0" w:color="auto"/>
        <w:left w:val="none" w:sz="0" w:space="0" w:color="auto"/>
        <w:bottom w:val="none" w:sz="0" w:space="0" w:color="auto"/>
        <w:right w:val="none" w:sz="0" w:space="0" w:color="auto"/>
      </w:divBdr>
    </w:div>
    <w:div w:id="1309240665">
      <w:bodyDiv w:val="1"/>
      <w:marLeft w:val="0"/>
      <w:marRight w:val="0"/>
      <w:marTop w:val="0"/>
      <w:marBottom w:val="0"/>
      <w:divBdr>
        <w:top w:val="none" w:sz="0" w:space="0" w:color="auto"/>
        <w:left w:val="none" w:sz="0" w:space="0" w:color="auto"/>
        <w:bottom w:val="none" w:sz="0" w:space="0" w:color="auto"/>
        <w:right w:val="none" w:sz="0" w:space="0" w:color="auto"/>
      </w:divBdr>
    </w:div>
    <w:div w:id="1313758380">
      <w:bodyDiv w:val="1"/>
      <w:marLeft w:val="0"/>
      <w:marRight w:val="0"/>
      <w:marTop w:val="0"/>
      <w:marBottom w:val="0"/>
      <w:divBdr>
        <w:top w:val="none" w:sz="0" w:space="0" w:color="auto"/>
        <w:left w:val="none" w:sz="0" w:space="0" w:color="auto"/>
        <w:bottom w:val="none" w:sz="0" w:space="0" w:color="auto"/>
        <w:right w:val="none" w:sz="0" w:space="0" w:color="auto"/>
      </w:divBdr>
    </w:div>
    <w:div w:id="1318388143">
      <w:bodyDiv w:val="1"/>
      <w:marLeft w:val="0"/>
      <w:marRight w:val="0"/>
      <w:marTop w:val="0"/>
      <w:marBottom w:val="0"/>
      <w:divBdr>
        <w:top w:val="none" w:sz="0" w:space="0" w:color="auto"/>
        <w:left w:val="none" w:sz="0" w:space="0" w:color="auto"/>
        <w:bottom w:val="none" w:sz="0" w:space="0" w:color="auto"/>
        <w:right w:val="none" w:sz="0" w:space="0" w:color="auto"/>
      </w:divBdr>
    </w:div>
    <w:div w:id="1343358317">
      <w:bodyDiv w:val="1"/>
      <w:marLeft w:val="0"/>
      <w:marRight w:val="0"/>
      <w:marTop w:val="0"/>
      <w:marBottom w:val="0"/>
      <w:divBdr>
        <w:top w:val="none" w:sz="0" w:space="0" w:color="auto"/>
        <w:left w:val="none" w:sz="0" w:space="0" w:color="auto"/>
        <w:bottom w:val="none" w:sz="0" w:space="0" w:color="auto"/>
        <w:right w:val="none" w:sz="0" w:space="0" w:color="auto"/>
      </w:divBdr>
    </w:div>
    <w:div w:id="1362314496">
      <w:bodyDiv w:val="1"/>
      <w:marLeft w:val="0"/>
      <w:marRight w:val="0"/>
      <w:marTop w:val="0"/>
      <w:marBottom w:val="0"/>
      <w:divBdr>
        <w:top w:val="none" w:sz="0" w:space="0" w:color="auto"/>
        <w:left w:val="none" w:sz="0" w:space="0" w:color="auto"/>
        <w:bottom w:val="none" w:sz="0" w:space="0" w:color="auto"/>
        <w:right w:val="none" w:sz="0" w:space="0" w:color="auto"/>
      </w:divBdr>
    </w:div>
    <w:div w:id="1367757607">
      <w:bodyDiv w:val="1"/>
      <w:marLeft w:val="0"/>
      <w:marRight w:val="0"/>
      <w:marTop w:val="0"/>
      <w:marBottom w:val="0"/>
      <w:divBdr>
        <w:top w:val="none" w:sz="0" w:space="0" w:color="auto"/>
        <w:left w:val="none" w:sz="0" w:space="0" w:color="auto"/>
        <w:bottom w:val="none" w:sz="0" w:space="0" w:color="auto"/>
        <w:right w:val="none" w:sz="0" w:space="0" w:color="auto"/>
      </w:divBdr>
    </w:div>
    <w:div w:id="1369725050">
      <w:bodyDiv w:val="1"/>
      <w:marLeft w:val="0"/>
      <w:marRight w:val="0"/>
      <w:marTop w:val="0"/>
      <w:marBottom w:val="0"/>
      <w:divBdr>
        <w:top w:val="none" w:sz="0" w:space="0" w:color="auto"/>
        <w:left w:val="none" w:sz="0" w:space="0" w:color="auto"/>
        <w:bottom w:val="none" w:sz="0" w:space="0" w:color="auto"/>
        <w:right w:val="none" w:sz="0" w:space="0" w:color="auto"/>
      </w:divBdr>
    </w:div>
    <w:div w:id="1373461511">
      <w:bodyDiv w:val="1"/>
      <w:marLeft w:val="0"/>
      <w:marRight w:val="0"/>
      <w:marTop w:val="0"/>
      <w:marBottom w:val="0"/>
      <w:divBdr>
        <w:top w:val="none" w:sz="0" w:space="0" w:color="auto"/>
        <w:left w:val="none" w:sz="0" w:space="0" w:color="auto"/>
        <w:bottom w:val="none" w:sz="0" w:space="0" w:color="auto"/>
        <w:right w:val="none" w:sz="0" w:space="0" w:color="auto"/>
      </w:divBdr>
    </w:div>
    <w:div w:id="1412431931">
      <w:bodyDiv w:val="1"/>
      <w:marLeft w:val="0"/>
      <w:marRight w:val="0"/>
      <w:marTop w:val="0"/>
      <w:marBottom w:val="0"/>
      <w:divBdr>
        <w:top w:val="none" w:sz="0" w:space="0" w:color="auto"/>
        <w:left w:val="none" w:sz="0" w:space="0" w:color="auto"/>
        <w:bottom w:val="none" w:sz="0" w:space="0" w:color="auto"/>
        <w:right w:val="none" w:sz="0" w:space="0" w:color="auto"/>
      </w:divBdr>
    </w:div>
    <w:div w:id="1419710627">
      <w:bodyDiv w:val="1"/>
      <w:marLeft w:val="0"/>
      <w:marRight w:val="0"/>
      <w:marTop w:val="0"/>
      <w:marBottom w:val="0"/>
      <w:divBdr>
        <w:top w:val="none" w:sz="0" w:space="0" w:color="auto"/>
        <w:left w:val="none" w:sz="0" w:space="0" w:color="auto"/>
        <w:bottom w:val="none" w:sz="0" w:space="0" w:color="auto"/>
        <w:right w:val="none" w:sz="0" w:space="0" w:color="auto"/>
      </w:divBdr>
    </w:div>
    <w:div w:id="1438524075">
      <w:bodyDiv w:val="1"/>
      <w:marLeft w:val="0"/>
      <w:marRight w:val="0"/>
      <w:marTop w:val="0"/>
      <w:marBottom w:val="0"/>
      <w:divBdr>
        <w:top w:val="none" w:sz="0" w:space="0" w:color="auto"/>
        <w:left w:val="none" w:sz="0" w:space="0" w:color="auto"/>
        <w:bottom w:val="none" w:sz="0" w:space="0" w:color="auto"/>
        <w:right w:val="none" w:sz="0" w:space="0" w:color="auto"/>
      </w:divBdr>
    </w:div>
    <w:div w:id="1443110002">
      <w:bodyDiv w:val="1"/>
      <w:marLeft w:val="0"/>
      <w:marRight w:val="0"/>
      <w:marTop w:val="0"/>
      <w:marBottom w:val="0"/>
      <w:divBdr>
        <w:top w:val="none" w:sz="0" w:space="0" w:color="auto"/>
        <w:left w:val="none" w:sz="0" w:space="0" w:color="auto"/>
        <w:bottom w:val="none" w:sz="0" w:space="0" w:color="auto"/>
        <w:right w:val="none" w:sz="0" w:space="0" w:color="auto"/>
      </w:divBdr>
    </w:div>
    <w:div w:id="1443308163">
      <w:bodyDiv w:val="1"/>
      <w:marLeft w:val="0"/>
      <w:marRight w:val="0"/>
      <w:marTop w:val="0"/>
      <w:marBottom w:val="0"/>
      <w:divBdr>
        <w:top w:val="none" w:sz="0" w:space="0" w:color="auto"/>
        <w:left w:val="none" w:sz="0" w:space="0" w:color="auto"/>
        <w:bottom w:val="none" w:sz="0" w:space="0" w:color="auto"/>
        <w:right w:val="none" w:sz="0" w:space="0" w:color="auto"/>
      </w:divBdr>
    </w:div>
    <w:div w:id="1444380566">
      <w:bodyDiv w:val="1"/>
      <w:marLeft w:val="0"/>
      <w:marRight w:val="0"/>
      <w:marTop w:val="0"/>
      <w:marBottom w:val="0"/>
      <w:divBdr>
        <w:top w:val="none" w:sz="0" w:space="0" w:color="auto"/>
        <w:left w:val="none" w:sz="0" w:space="0" w:color="auto"/>
        <w:bottom w:val="none" w:sz="0" w:space="0" w:color="auto"/>
        <w:right w:val="none" w:sz="0" w:space="0" w:color="auto"/>
      </w:divBdr>
    </w:div>
    <w:div w:id="1444689979">
      <w:bodyDiv w:val="1"/>
      <w:marLeft w:val="0"/>
      <w:marRight w:val="0"/>
      <w:marTop w:val="0"/>
      <w:marBottom w:val="0"/>
      <w:divBdr>
        <w:top w:val="none" w:sz="0" w:space="0" w:color="auto"/>
        <w:left w:val="none" w:sz="0" w:space="0" w:color="auto"/>
        <w:bottom w:val="none" w:sz="0" w:space="0" w:color="auto"/>
        <w:right w:val="none" w:sz="0" w:space="0" w:color="auto"/>
      </w:divBdr>
    </w:div>
    <w:div w:id="1450736669">
      <w:bodyDiv w:val="1"/>
      <w:marLeft w:val="0"/>
      <w:marRight w:val="0"/>
      <w:marTop w:val="0"/>
      <w:marBottom w:val="0"/>
      <w:divBdr>
        <w:top w:val="none" w:sz="0" w:space="0" w:color="auto"/>
        <w:left w:val="none" w:sz="0" w:space="0" w:color="auto"/>
        <w:bottom w:val="none" w:sz="0" w:space="0" w:color="auto"/>
        <w:right w:val="none" w:sz="0" w:space="0" w:color="auto"/>
      </w:divBdr>
    </w:div>
    <w:div w:id="1457022561">
      <w:bodyDiv w:val="1"/>
      <w:marLeft w:val="0"/>
      <w:marRight w:val="0"/>
      <w:marTop w:val="0"/>
      <w:marBottom w:val="0"/>
      <w:divBdr>
        <w:top w:val="none" w:sz="0" w:space="0" w:color="auto"/>
        <w:left w:val="none" w:sz="0" w:space="0" w:color="auto"/>
        <w:bottom w:val="none" w:sz="0" w:space="0" w:color="auto"/>
        <w:right w:val="none" w:sz="0" w:space="0" w:color="auto"/>
      </w:divBdr>
    </w:div>
    <w:div w:id="1464228057">
      <w:bodyDiv w:val="1"/>
      <w:marLeft w:val="0"/>
      <w:marRight w:val="0"/>
      <w:marTop w:val="0"/>
      <w:marBottom w:val="0"/>
      <w:divBdr>
        <w:top w:val="none" w:sz="0" w:space="0" w:color="auto"/>
        <w:left w:val="none" w:sz="0" w:space="0" w:color="auto"/>
        <w:bottom w:val="none" w:sz="0" w:space="0" w:color="auto"/>
        <w:right w:val="none" w:sz="0" w:space="0" w:color="auto"/>
      </w:divBdr>
    </w:div>
    <w:div w:id="1481338922">
      <w:bodyDiv w:val="1"/>
      <w:marLeft w:val="0"/>
      <w:marRight w:val="0"/>
      <w:marTop w:val="0"/>
      <w:marBottom w:val="0"/>
      <w:divBdr>
        <w:top w:val="none" w:sz="0" w:space="0" w:color="auto"/>
        <w:left w:val="none" w:sz="0" w:space="0" w:color="auto"/>
        <w:bottom w:val="none" w:sz="0" w:space="0" w:color="auto"/>
        <w:right w:val="none" w:sz="0" w:space="0" w:color="auto"/>
      </w:divBdr>
    </w:div>
    <w:div w:id="1494641325">
      <w:bodyDiv w:val="1"/>
      <w:marLeft w:val="0"/>
      <w:marRight w:val="0"/>
      <w:marTop w:val="0"/>
      <w:marBottom w:val="0"/>
      <w:divBdr>
        <w:top w:val="none" w:sz="0" w:space="0" w:color="auto"/>
        <w:left w:val="none" w:sz="0" w:space="0" w:color="auto"/>
        <w:bottom w:val="none" w:sz="0" w:space="0" w:color="auto"/>
        <w:right w:val="none" w:sz="0" w:space="0" w:color="auto"/>
      </w:divBdr>
    </w:div>
    <w:div w:id="1494877536">
      <w:bodyDiv w:val="1"/>
      <w:marLeft w:val="0"/>
      <w:marRight w:val="0"/>
      <w:marTop w:val="0"/>
      <w:marBottom w:val="0"/>
      <w:divBdr>
        <w:top w:val="none" w:sz="0" w:space="0" w:color="auto"/>
        <w:left w:val="none" w:sz="0" w:space="0" w:color="auto"/>
        <w:bottom w:val="none" w:sz="0" w:space="0" w:color="auto"/>
        <w:right w:val="none" w:sz="0" w:space="0" w:color="auto"/>
      </w:divBdr>
    </w:div>
    <w:div w:id="1498114842">
      <w:bodyDiv w:val="1"/>
      <w:marLeft w:val="0"/>
      <w:marRight w:val="0"/>
      <w:marTop w:val="0"/>
      <w:marBottom w:val="0"/>
      <w:divBdr>
        <w:top w:val="none" w:sz="0" w:space="0" w:color="auto"/>
        <w:left w:val="none" w:sz="0" w:space="0" w:color="auto"/>
        <w:bottom w:val="none" w:sz="0" w:space="0" w:color="auto"/>
        <w:right w:val="none" w:sz="0" w:space="0" w:color="auto"/>
      </w:divBdr>
    </w:div>
    <w:div w:id="1501703141">
      <w:bodyDiv w:val="1"/>
      <w:marLeft w:val="0"/>
      <w:marRight w:val="0"/>
      <w:marTop w:val="0"/>
      <w:marBottom w:val="0"/>
      <w:divBdr>
        <w:top w:val="none" w:sz="0" w:space="0" w:color="auto"/>
        <w:left w:val="none" w:sz="0" w:space="0" w:color="auto"/>
        <w:bottom w:val="none" w:sz="0" w:space="0" w:color="auto"/>
        <w:right w:val="none" w:sz="0" w:space="0" w:color="auto"/>
      </w:divBdr>
    </w:div>
    <w:div w:id="1507598241">
      <w:bodyDiv w:val="1"/>
      <w:marLeft w:val="0"/>
      <w:marRight w:val="0"/>
      <w:marTop w:val="0"/>
      <w:marBottom w:val="0"/>
      <w:divBdr>
        <w:top w:val="none" w:sz="0" w:space="0" w:color="auto"/>
        <w:left w:val="none" w:sz="0" w:space="0" w:color="auto"/>
        <w:bottom w:val="none" w:sz="0" w:space="0" w:color="auto"/>
        <w:right w:val="none" w:sz="0" w:space="0" w:color="auto"/>
      </w:divBdr>
    </w:div>
    <w:div w:id="1517772773">
      <w:bodyDiv w:val="1"/>
      <w:marLeft w:val="0"/>
      <w:marRight w:val="0"/>
      <w:marTop w:val="0"/>
      <w:marBottom w:val="0"/>
      <w:divBdr>
        <w:top w:val="none" w:sz="0" w:space="0" w:color="auto"/>
        <w:left w:val="none" w:sz="0" w:space="0" w:color="auto"/>
        <w:bottom w:val="none" w:sz="0" w:space="0" w:color="auto"/>
        <w:right w:val="none" w:sz="0" w:space="0" w:color="auto"/>
      </w:divBdr>
    </w:div>
    <w:div w:id="1524174379">
      <w:bodyDiv w:val="1"/>
      <w:marLeft w:val="0"/>
      <w:marRight w:val="0"/>
      <w:marTop w:val="0"/>
      <w:marBottom w:val="0"/>
      <w:divBdr>
        <w:top w:val="none" w:sz="0" w:space="0" w:color="auto"/>
        <w:left w:val="none" w:sz="0" w:space="0" w:color="auto"/>
        <w:bottom w:val="none" w:sz="0" w:space="0" w:color="auto"/>
        <w:right w:val="none" w:sz="0" w:space="0" w:color="auto"/>
      </w:divBdr>
    </w:div>
    <w:div w:id="1563175980">
      <w:bodyDiv w:val="1"/>
      <w:marLeft w:val="0"/>
      <w:marRight w:val="0"/>
      <w:marTop w:val="0"/>
      <w:marBottom w:val="0"/>
      <w:divBdr>
        <w:top w:val="none" w:sz="0" w:space="0" w:color="auto"/>
        <w:left w:val="none" w:sz="0" w:space="0" w:color="auto"/>
        <w:bottom w:val="none" w:sz="0" w:space="0" w:color="auto"/>
        <w:right w:val="none" w:sz="0" w:space="0" w:color="auto"/>
      </w:divBdr>
    </w:div>
    <w:div w:id="1572232104">
      <w:bodyDiv w:val="1"/>
      <w:marLeft w:val="0"/>
      <w:marRight w:val="0"/>
      <w:marTop w:val="0"/>
      <w:marBottom w:val="0"/>
      <w:divBdr>
        <w:top w:val="none" w:sz="0" w:space="0" w:color="auto"/>
        <w:left w:val="none" w:sz="0" w:space="0" w:color="auto"/>
        <w:bottom w:val="none" w:sz="0" w:space="0" w:color="auto"/>
        <w:right w:val="none" w:sz="0" w:space="0" w:color="auto"/>
      </w:divBdr>
    </w:div>
    <w:div w:id="1592280204">
      <w:bodyDiv w:val="1"/>
      <w:marLeft w:val="0"/>
      <w:marRight w:val="0"/>
      <w:marTop w:val="0"/>
      <w:marBottom w:val="0"/>
      <w:divBdr>
        <w:top w:val="none" w:sz="0" w:space="0" w:color="auto"/>
        <w:left w:val="none" w:sz="0" w:space="0" w:color="auto"/>
        <w:bottom w:val="none" w:sz="0" w:space="0" w:color="auto"/>
        <w:right w:val="none" w:sz="0" w:space="0" w:color="auto"/>
      </w:divBdr>
    </w:div>
    <w:div w:id="1602571457">
      <w:bodyDiv w:val="1"/>
      <w:marLeft w:val="0"/>
      <w:marRight w:val="0"/>
      <w:marTop w:val="0"/>
      <w:marBottom w:val="0"/>
      <w:divBdr>
        <w:top w:val="none" w:sz="0" w:space="0" w:color="auto"/>
        <w:left w:val="none" w:sz="0" w:space="0" w:color="auto"/>
        <w:bottom w:val="none" w:sz="0" w:space="0" w:color="auto"/>
        <w:right w:val="none" w:sz="0" w:space="0" w:color="auto"/>
      </w:divBdr>
    </w:div>
    <w:div w:id="1618095485">
      <w:bodyDiv w:val="1"/>
      <w:marLeft w:val="0"/>
      <w:marRight w:val="0"/>
      <w:marTop w:val="0"/>
      <w:marBottom w:val="0"/>
      <w:divBdr>
        <w:top w:val="none" w:sz="0" w:space="0" w:color="auto"/>
        <w:left w:val="none" w:sz="0" w:space="0" w:color="auto"/>
        <w:bottom w:val="none" w:sz="0" w:space="0" w:color="auto"/>
        <w:right w:val="none" w:sz="0" w:space="0" w:color="auto"/>
      </w:divBdr>
    </w:div>
    <w:div w:id="1620643621">
      <w:bodyDiv w:val="1"/>
      <w:marLeft w:val="0"/>
      <w:marRight w:val="0"/>
      <w:marTop w:val="0"/>
      <w:marBottom w:val="0"/>
      <w:divBdr>
        <w:top w:val="none" w:sz="0" w:space="0" w:color="auto"/>
        <w:left w:val="none" w:sz="0" w:space="0" w:color="auto"/>
        <w:bottom w:val="none" w:sz="0" w:space="0" w:color="auto"/>
        <w:right w:val="none" w:sz="0" w:space="0" w:color="auto"/>
      </w:divBdr>
    </w:div>
    <w:div w:id="1626504089">
      <w:bodyDiv w:val="1"/>
      <w:marLeft w:val="0"/>
      <w:marRight w:val="0"/>
      <w:marTop w:val="0"/>
      <w:marBottom w:val="0"/>
      <w:divBdr>
        <w:top w:val="none" w:sz="0" w:space="0" w:color="auto"/>
        <w:left w:val="none" w:sz="0" w:space="0" w:color="auto"/>
        <w:bottom w:val="none" w:sz="0" w:space="0" w:color="auto"/>
        <w:right w:val="none" w:sz="0" w:space="0" w:color="auto"/>
      </w:divBdr>
    </w:div>
    <w:div w:id="1633713052">
      <w:bodyDiv w:val="1"/>
      <w:marLeft w:val="0"/>
      <w:marRight w:val="0"/>
      <w:marTop w:val="0"/>
      <w:marBottom w:val="0"/>
      <w:divBdr>
        <w:top w:val="none" w:sz="0" w:space="0" w:color="auto"/>
        <w:left w:val="none" w:sz="0" w:space="0" w:color="auto"/>
        <w:bottom w:val="none" w:sz="0" w:space="0" w:color="auto"/>
        <w:right w:val="none" w:sz="0" w:space="0" w:color="auto"/>
      </w:divBdr>
    </w:div>
    <w:div w:id="1634477436">
      <w:bodyDiv w:val="1"/>
      <w:marLeft w:val="0"/>
      <w:marRight w:val="0"/>
      <w:marTop w:val="0"/>
      <w:marBottom w:val="0"/>
      <w:divBdr>
        <w:top w:val="none" w:sz="0" w:space="0" w:color="auto"/>
        <w:left w:val="none" w:sz="0" w:space="0" w:color="auto"/>
        <w:bottom w:val="none" w:sz="0" w:space="0" w:color="auto"/>
        <w:right w:val="none" w:sz="0" w:space="0" w:color="auto"/>
      </w:divBdr>
    </w:div>
    <w:div w:id="1639341775">
      <w:bodyDiv w:val="1"/>
      <w:marLeft w:val="0"/>
      <w:marRight w:val="0"/>
      <w:marTop w:val="0"/>
      <w:marBottom w:val="0"/>
      <w:divBdr>
        <w:top w:val="none" w:sz="0" w:space="0" w:color="auto"/>
        <w:left w:val="none" w:sz="0" w:space="0" w:color="auto"/>
        <w:bottom w:val="none" w:sz="0" w:space="0" w:color="auto"/>
        <w:right w:val="none" w:sz="0" w:space="0" w:color="auto"/>
      </w:divBdr>
    </w:div>
    <w:div w:id="1644894210">
      <w:bodyDiv w:val="1"/>
      <w:marLeft w:val="0"/>
      <w:marRight w:val="0"/>
      <w:marTop w:val="0"/>
      <w:marBottom w:val="0"/>
      <w:divBdr>
        <w:top w:val="none" w:sz="0" w:space="0" w:color="auto"/>
        <w:left w:val="none" w:sz="0" w:space="0" w:color="auto"/>
        <w:bottom w:val="none" w:sz="0" w:space="0" w:color="auto"/>
        <w:right w:val="none" w:sz="0" w:space="0" w:color="auto"/>
      </w:divBdr>
    </w:div>
    <w:div w:id="1658680965">
      <w:bodyDiv w:val="1"/>
      <w:marLeft w:val="0"/>
      <w:marRight w:val="0"/>
      <w:marTop w:val="0"/>
      <w:marBottom w:val="0"/>
      <w:divBdr>
        <w:top w:val="none" w:sz="0" w:space="0" w:color="auto"/>
        <w:left w:val="none" w:sz="0" w:space="0" w:color="auto"/>
        <w:bottom w:val="none" w:sz="0" w:space="0" w:color="auto"/>
        <w:right w:val="none" w:sz="0" w:space="0" w:color="auto"/>
      </w:divBdr>
    </w:div>
    <w:div w:id="1663389270">
      <w:bodyDiv w:val="1"/>
      <w:marLeft w:val="0"/>
      <w:marRight w:val="0"/>
      <w:marTop w:val="0"/>
      <w:marBottom w:val="0"/>
      <w:divBdr>
        <w:top w:val="none" w:sz="0" w:space="0" w:color="auto"/>
        <w:left w:val="none" w:sz="0" w:space="0" w:color="auto"/>
        <w:bottom w:val="none" w:sz="0" w:space="0" w:color="auto"/>
        <w:right w:val="none" w:sz="0" w:space="0" w:color="auto"/>
      </w:divBdr>
    </w:div>
    <w:div w:id="1676421287">
      <w:bodyDiv w:val="1"/>
      <w:marLeft w:val="0"/>
      <w:marRight w:val="0"/>
      <w:marTop w:val="0"/>
      <w:marBottom w:val="0"/>
      <w:divBdr>
        <w:top w:val="none" w:sz="0" w:space="0" w:color="auto"/>
        <w:left w:val="none" w:sz="0" w:space="0" w:color="auto"/>
        <w:bottom w:val="none" w:sz="0" w:space="0" w:color="auto"/>
        <w:right w:val="none" w:sz="0" w:space="0" w:color="auto"/>
      </w:divBdr>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
    <w:div w:id="1692953114">
      <w:bodyDiv w:val="1"/>
      <w:marLeft w:val="0"/>
      <w:marRight w:val="0"/>
      <w:marTop w:val="0"/>
      <w:marBottom w:val="0"/>
      <w:divBdr>
        <w:top w:val="none" w:sz="0" w:space="0" w:color="auto"/>
        <w:left w:val="none" w:sz="0" w:space="0" w:color="auto"/>
        <w:bottom w:val="none" w:sz="0" w:space="0" w:color="auto"/>
        <w:right w:val="none" w:sz="0" w:space="0" w:color="auto"/>
      </w:divBdr>
    </w:div>
    <w:div w:id="1701318737">
      <w:bodyDiv w:val="1"/>
      <w:marLeft w:val="0"/>
      <w:marRight w:val="0"/>
      <w:marTop w:val="0"/>
      <w:marBottom w:val="0"/>
      <w:divBdr>
        <w:top w:val="none" w:sz="0" w:space="0" w:color="auto"/>
        <w:left w:val="none" w:sz="0" w:space="0" w:color="auto"/>
        <w:bottom w:val="none" w:sz="0" w:space="0" w:color="auto"/>
        <w:right w:val="none" w:sz="0" w:space="0" w:color="auto"/>
      </w:divBdr>
    </w:div>
    <w:div w:id="1701782484">
      <w:bodyDiv w:val="1"/>
      <w:marLeft w:val="0"/>
      <w:marRight w:val="0"/>
      <w:marTop w:val="0"/>
      <w:marBottom w:val="0"/>
      <w:divBdr>
        <w:top w:val="none" w:sz="0" w:space="0" w:color="auto"/>
        <w:left w:val="none" w:sz="0" w:space="0" w:color="auto"/>
        <w:bottom w:val="none" w:sz="0" w:space="0" w:color="auto"/>
        <w:right w:val="none" w:sz="0" w:space="0" w:color="auto"/>
      </w:divBdr>
    </w:div>
    <w:div w:id="1711804110">
      <w:bodyDiv w:val="1"/>
      <w:marLeft w:val="0"/>
      <w:marRight w:val="0"/>
      <w:marTop w:val="0"/>
      <w:marBottom w:val="0"/>
      <w:divBdr>
        <w:top w:val="none" w:sz="0" w:space="0" w:color="auto"/>
        <w:left w:val="none" w:sz="0" w:space="0" w:color="auto"/>
        <w:bottom w:val="none" w:sz="0" w:space="0" w:color="auto"/>
        <w:right w:val="none" w:sz="0" w:space="0" w:color="auto"/>
      </w:divBdr>
    </w:div>
    <w:div w:id="1748962401">
      <w:bodyDiv w:val="1"/>
      <w:marLeft w:val="0"/>
      <w:marRight w:val="0"/>
      <w:marTop w:val="0"/>
      <w:marBottom w:val="0"/>
      <w:divBdr>
        <w:top w:val="none" w:sz="0" w:space="0" w:color="auto"/>
        <w:left w:val="none" w:sz="0" w:space="0" w:color="auto"/>
        <w:bottom w:val="none" w:sz="0" w:space="0" w:color="auto"/>
        <w:right w:val="none" w:sz="0" w:space="0" w:color="auto"/>
      </w:divBdr>
    </w:div>
    <w:div w:id="1757362164">
      <w:bodyDiv w:val="1"/>
      <w:marLeft w:val="0"/>
      <w:marRight w:val="0"/>
      <w:marTop w:val="0"/>
      <w:marBottom w:val="0"/>
      <w:divBdr>
        <w:top w:val="none" w:sz="0" w:space="0" w:color="auto"/>
        <w:left w:val="none" w:sz="0" w:space="0" w:color="auto"/>
        <w:bottom w:val="none" w:sz="0" w:space="0" w:color="auto"/>
        <w:right w:val="none" w:sz="0" w:space="0" w:color="auto"/>
      </w:divBdr>
    </w:div>
    <w:div w:id="1760104064">
      <w:bodyDiv w:val="1"/>
      <w:marLeft w:val="0"/>
      <w:marRight w:val="0"/>
      <w:marTop w:val="0"/>
      <w:marBottom w:val="0"/>
      <w:divBdr>
        <w:top w:val="none" w:sz="0" w:space="0" w:color="auto"/>
        <w:left w:val="none" w:sz="0" w:space="0" w:color="auto"/>
        <w:bottom w:val="none" w:sz="0" w:space="0" w:color="auto"/>
        <w:right w:val="none" w:sz="0" w:space="0" w:color="auto"/>
      </w:divBdr>
    </w:div>
    <w:div w:id="1808204877">
      <w:bodyDiv w:val="1"/>
      <w:marLeft w:val="0"/>
      <w:marRight w:val="0"/>
      <w:marTop w:val="0"/>
      <w:marBottom w:val="0"/>
      <w:divBdr>
        <w:top w:val="none" w:sz="0" w:space="0" w:color="auto"/>
        <w:left w:val="none" w:sz="0" w:space="0" w:color="auto"/>
        <w:bottom w:val="none" w:sz="0" w:space="0" w:color="auto"/>
        <w:right w:val="none" w:sz="0" w:space="0" w:color="auto"/>
      </w:divBdr>
    </w:div>
    <w:div w:id="1813907180">
      <w:bodyDiv w:val="1"/>
      <w:marLeft w:val="0"/>
      <w:marRight w:val="0"/>
      <w:marTop w:val="0"/>
      <w:marBottom w:val="0"/>
      <w:divBdr>
        <w:top w:val="none" w:sz="0" w:space="0" w:color="auto"/>
        <w:left w:val="none" w:sz="0" w:space="0" w:color="auto"/>
        <w:bottom w:val="none" w:sz="0" w:space="0" w:color="auto"/>
        <w:right w:val="none" w:sz="0" w:space="0" w:color="auto"/>
      </w:divBdr>
    </w:div>
    <w:div w:id="1839078284">
      <w:bodyDiv w:val="1"/>
      <w:marLeft w:val="0"/>
      <w:marRight w:val="0"/>
      <w:marTop w:val="0"/>
      <w:marBottom w:val="0"/>
      <w:divBdr>
        <w:top w:val="none" w:sz="0" w:space="0" w:color="auto"/>
        <w:left w:val="none" w:sz="0" w:space="0" w:color="auto"/>
        <w:bottom w:val="none" w:sz="0" w:space="0" w:color="auto"/>
        <w:right w:val="none" w:sz="0" w:space="0" w:color="auto"/>
      </w:divBdr>
    </w:div>
    <w:div w:id="1848203286">
      <w:bodyDiv w:val="1"/>
      <w:marLeft w:val="0"/>
      <w:marRight w:val="0"/>
      <w:marTop w:val="0"/>
      <w:marBottom w:val="0"/>
      <w:divBdr>
        <w:top w:val="none" w:sz="0" w:space="0" w:color="auto"/>
        <w:left w:val="none" w:sz="0" w:space="0" w:color="auto"/>
        <w:bottom w:val="none" w:sz="0" w:space="0" w:color="auto"/>
        <w:right w:val="none" w:sz="0" w:space="0" w:color="auto"/>
      </w:divBdr>
    </w:div>
    <w:div w:id="1851875707">
      <w:bodyDiv w:val="1"/>
      <w:marLeft w:val="0"/>
      <w:marRight w:val="0"/>
      <w:marTop w:val="0"/>
      <w:marBottom w:val="0"/>
      <w:divBdr>
        <w:top w:val="none" w:sz="0" w:space="0" w:color="auto"/>
        <w:left w:val="none" w:sz="0" w:space="0" w:color="auto"/>
        <w:bottom w:val="none" w:sz="0" w:space="0" w:color="auto"/>
        <w:right w:val="none" w:sz="0" w:space="0" w:color="auto"/>
      </w:divBdr>
    </w:div>
    <w:div w:id="1875774088">
      <w:bodyDiv w:val="1"/>
      <w:marLeft w:val="0"/>
      <w:marRight w:val="0"/>
      <w:marTop w:val="0"/>
      <w:marBottom w:val="0"/>
      <w:divBdr>
        <w:top w:val="none" w:sz="0" w:space="0" w:color="auto"/>
        <w:left w:val="none" w:sz="0" w:space="0" w:color="auto"/>
        <w:bottom w:val="none" w:sz="0" w:space="0" w:color="auto"/>
        <w:right w:val="none" w:sz="0" w:space="0" w:color="auto"/>
      </w:divBdr>
    </w:div>
    <w:div w:id="1899389497">
      <w:bodyDiv w:val="1"/>
      <w:marLeft w:val="0"/>
      <w:marRight w:val="0"/>
      <w:marTop w:val="0"/>
      <w:marBottom w:val="0"/>
      <w:divBdr>
        <w:top w:val="none" w:sz="0" w:space="0" w:color="auto"/>
        <w:left w:val="none" w:sz="0" w:space="0" w:color="auto"/>
        <w:bottom w:val="none" w:sz="0" w:space="0" w:color="auto"/>
        <w:right w:val="none" w:sz="0" w:space="0" w:color="auto"/>
      </w:divBdr>
    </w:div>
    <w:div w:id="1914461938">
      <w:bodyDiv w:val="1"/>
      <w:marLeft w:val="0"/>
      <w:marRight w:val="0"/>
      <w:marTop w:val="0"/>
      <w:marBottom w:val="0"/>
      <w:divBdr>
        <w:top w:val="none" w:sz="0" w:space="0" w:color="auto"/>
        <w:left w:val="none" w:sz="0" w:space="0" w:color="auto"/>
        <w:bottom w:val="none" w:sz="0" w:space="0" w:color="auto"/>
        <w:right w:val="none" w:sz="0" w:space="0" w:color="auto"/>
      </w:divBdr>
    </w:div>
    <w:div w:id="1937715989">
      <w:bodyDiv w:val="1"/>
      <w:marLeft w:val="0"/>
      <w:marRight w:val="0"/>
      <w:marTop w:val="0"/>
      <w:marBottom w:val="0"/>
      <w:divBdr>
        <w:top w:val="none" w:sz="0" w:space="0" w:color="auto"/>
        <w:left w:val="none" w:sz="0" w:space="0" w:color="auto"/>
        <w:bottom w:val="none" w:sz="0" w:space="0" w:color="auto"/>
        <w:right w:val="none" w:sz="0" w:space="0" w:color="auto"/>
      </w:divBdr>
    </w:div>
    <w:div w:id="1980307248">
      <w:bodyDiv w:val="1"/>
      <w:marLeft w:val="0"/>
      <w:marRight w:val="0"/>
      <w:marTop w:val="0"/>
      <w:marBottom w:val="0"/>
      <w:divBdr>
        <w:top w:val="none" w:sz="0" w:space="0" w:color="auto"/>
        <w:left w:val="none" w:sz="0" w:space="0" w:color="auto"/>
        <w:bottom w:val="none" w:sz="0" w:space="0" w:color="auto"/>
        <w:right w:val="none" w:sz="0" w:space="0" w:color="auto"/>
      </w:divBdr>
    </w:div>
    <w:div w:id="1989555689">
      <w:bodyDiv w:val="1"/>
      <w:marLeft w:val="0"/>
      <w:marRight w:val="0"/>
      <w:marTop w:val="0"/>
      <w:marBottom w:val="0"/>
      <w:divBdr>
        <w:top w:val="none" w:sz="0" w:space="0" w:color="auto"/>
        <w:left w:val="none" w:sz="0" w:space="0" w:color="auto"/>
        <w:bottom w:val="none" w:sz="0" w:space="0" w:color="auto"/>
        <w:right w:val="none" w:sz="0" w:space="0" w:color="auto"/>
      </w:divBdr>
    </w:div>
    <w:div w:id="2020231476">
      <w:bodyDiv w:val="1"/>
      <w:marLeft w:val="0"/>
      <w:marRight w:val="0"/>
      <w:marTop w:val="0"/>
      <w:marBottom w:val="0"/>
      <w:divBdr>
        <w:top w:val="none" w:sz="0" w:space="0" w:color="auto"/>
        <w:left w:val="none" w:sz="0" w:space="0" w:color="auto"/>
        <w:bottom w:val="none" w:sz="0" w:space="0" w:color="auto"/>
        <w:right w:val="none" w:sz="0" w:space="0" w:color="auto"/>
      </w:divBdr>
    </w:div>
    <w:div w:id="2023241470">
      <w:bodyDiv w:val="1"/>
      <w:marLeft w:val="0"/>
      <w:marRight w:val="0"/>
      <w:marTop w:val="0"/>
      <w:marBottom w:val="0"/>
      <w:divBdr>
        <w:top w:val="none" w:sz="0" w:space="0" w:color="auto"/>
        <w:left w:val="none" w:sz="0" w:space="0" w:color="auto"/>
        <w:bottom w:val="none" w:sz="0" w:space="0" w:color="auto"/>
        <w:right w:val="none" w:sz="0" w:space="0" w:color="auto"/>
      </w:divBdr>
    </w:div>
    <w:div w:id="2040860195">
      <w:bodyDiv w:val="1"/>
      <w:marLeft w:val="0"/>
      <w:marRight w:val="0"/>
      <w:marTop w:val="0"/>
      <w:marBottom w:val="0"/>
      <w:divBdr>
        <w:top w:val="none" w:sz="0" w:space="0" w:color="auto"/>
        <w:left w:val="none" w:sz="0" w:space="0" w:color="auto"/>
        <w:bottom w:val="none" w:sz="0" w:space="0" w:color="auto"/>
        <w:right w:val="none" w:sz="0" w:space="0" w:color="auto"/>
      </w:divBdr>
    </w:div>
    <w:div w:id="2071924615">
      <w:bodyDiv w:val="1"/>
      <w:marLeft w:val="0"/>
      <w:marRight w:val="0"/>
      <w:marTop w:val="0"/>
      <w:marBottom w:val="0"/>
      <w:divBdr>
        <w:top w:val="none" w:sz="0" w:space="0" w:color="auto"/>
        <w:left w:val="none" w:sz="0" w:space="0" w:color="auto"/>
        <w:bottom w:val="none" w:sz="0" w:space="0" w:color="auto"/>
        <w:right w:val="none" w:sz="0" w:space="0" w:color="auto"/>
      </w:divBdr>
    </w:div>
    <w:div w:id="2082941454">
      <w:bodyDiv w:val="1"/>
      <w:marLeft w:val="0"/>
      <w:marRight w:val="0"/>
      <w:marTop w:val="0"/>
      <w:marBottom w:val="0"/>
      <w:divBdr>
        <w:top w:val="none" w:sz="0" w:space="0" w:color="auto"/>
        <w:left w:val="none" w:sz="0" w:space="0" w:color="auto"/>
        <w:bottom w:val="none" w:sz="0" w:space="0" w:color="auto"/>
        <w:right w:val="none" w:sz="0" w:space="0" w:color="auto"/>
      </w:divBdr>
    </w:div>
    <w:div w:id="2083719656">
      <w:bodyDiv w:val="1"/>
      <w:marLeft w:val="0"/>
      <w:marRight w:val="0"/>
      <w:marTop w:val="0"/>
      <w:marBottom w:val="0"/>
      <w:divBdr>
        <w:top w:val="none" w:sz="0" w:space="0" w:color="auto"/>
        <w:left w:val="none" w:sz="0" w:space="0" w:color="auto"/>
        <w:bottom w:val="none" w:sz="0" w:space="0" w:color="auto"/>
        <w:right w:val="none" w:sz="0" w:space="0" w:color="auto"/>
      </w:divBdr>
    </w:div>
    <w:div w:id="2087414090">
      <w:bodyDiv w:val="1"/>
      <w:marLeft w:val="0"/>
      <w:marRight w:val="0"/>
      <w:marTop w:val="0"/>
      <w:marBottom w:val="0"/>
      <w:divBdr>
        <w:top w:val="none" w:sz="0" w:space="0" w:color="auto"/>
        <w:left w:val="none" w:sz="0" w:space="0" w:color="auto"/>
        <w:bottom w:val="none" w:sz="0" w:space="0" w:color="auto"/>
        <w:right w:val="none" w:sz="0" w:space="0" w:color="auto"/>
      </w:divBdr>
    </w:div>
    <w:div w:id="2132940253">
      <w:bodyDiv w:val="1"/>
      <w:marLeft w:val="0"/>
      <w:marRight w:val="0"/>
      <w:marTop w:val="0"/>
      <w:marBottom w:val="0"/>
      <w:divBdr>
        <w:top w:val="none" w:sz="0" w:space="0" w:color="auto"/>
        <w:left w:val="none" w:sz="0" w:space="0" w:color="auto"/>
        <w:bottom w:val="none" w:sz="0" w:space="0" w:color="auto"/>
        <w:right w:val="none" w:sz="0" w:space="0" w:color="auto"/>
      </w:divBdr>
    </w:div>
    <w:div w:id="2136369258">
      <w:bodyDiv w:val="1"/>
      <w:marLeft w:val="0"/>
      <w:marRight w:val="0"/>
      <w:marTop w:val="0"/>
      <w:marBottom w:val="0"/>
      <w:divBdr>
        <w:top w:val="none" w:sz="0" w:space="0" w:color="auto"/>
        <w:left w:val="none" w:sz="0" w:space="0" w:color="auto"/>
        <w:bottom w:val="none" w:sz="0" w:space="0" w:color="auto"/>
        <w:right w:val="none" w:sz="0" w:space="0" w:color="auto"/>
      </w:divBdr>
    </w:div>
    <w:div w:id="21412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AFA9848E6A774B8C4EB9DA0684AAAA" ma:contentTypeVersion="6" ma:contentTypeDescription="Crear nuevo documento." ma:contentTypeScope="" ma:versionID="f8d64b2bd5b4643d4ffc693a80c22fea">
  <xsd:schema xmlns:xsd="http://www.w3.org/2001/XMLSchema" xmlns:xs="http://www.w3.org/2001/XMLSchema" xmlns:p="http://schemas.microsoft.com/office/2006/metadata/properties" xmlns:ns3="1ea8237d-8dbc-4fa7-9cc6-b54dc8896f6e" xmlns:ns4="f916f441-e978-4608-9986-e10c6660114f" targetNamespace="http://schemas.microsoft.com/office/2006/metadata/properties" ma:root="true" ma:fieldsID="ce81d5438f46d3fcf807b48aefd73673" ns3:_="" ns4:_="">
    <xsd:import namespace="1ea8237d-8dbc-4fa7-9cc6-b54dc8896f6e"/>
    <xsd:import namespace="f916f441-e978-4608-9986-e10c666011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8237d-8dbc-4fa7-9cc6-b54dc8896f6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6f441-e978-4608-9986-e10c666011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A049-21CB-46F3-B0B4-1FB9F341F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4A1574-8CEC-42B6-8AAE-9519C6AA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8237d-8dbc-4fa7-9cc6-b54dc8896f6e"/>
    <ds:schemaRef ds:uri="f916f441-e978-4608-9986-e10c6660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5A8E9-62C6-4AFE-926E-D7A6B551DF9B}">
  <ds:schemaRefs>
    <ds:schemaRef ds:uri="http://schemas.microsoft.com/sharepoint/v3/contenttype/forms"/>
  </ds:schemaRefs>
</ds:datastoreItem>
</file>

<file path=customXml/itemProps4.xml><?xml version="1.0" encoding="utf-8"?>
<ds:datastoreItem xmlns:ds="http://schemas.openxmlformats.org/officeDocument/2006/customXml" ds:itemID="{E521C524-C527-4EB2-A739-07802656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5</TotalTime>
  <Pages>67</Pages>
  <Words>22023</Words>
  <Characters>121129</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Katterine Lorena Fentanes Romero</cp:lastModifiedBy>
  <cp:revision>6</cp:revision>
  <cp:lastPrinted>2022-03-15T16:24:00Z</cp:lastPrinted>
  <dcterms:created xsi:type="dcterms:W3CDTF">2022-11-01T15:39:00Z</dcterms:created>
  <dcterms:modified xsi:type="dcterms:W3CDTF">2022-11-01T18:57:00Z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0x01010047AFA9848E6A774B8C4EB9DA0684AAAA</vt:lpwstr>
  </property>
</Properties>
</file>